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采购需求磋商文件</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default" w:ascii="黑体" w:hAnsi="黑体" w:eastAsia="黑体"/>
          <w:sz w:val="32"/>
          <w:szCs w:val="32"/>
        </w:rPr>
      </w:pPr>
      <w:r>
        <w:rPr>
          <w:rFonts w:hint="default" w:ascii="黑体" w:hAnsi="黑体" w:eastAsia="黑体"/>
          <w:sz w:val="32"/>
          <w:szCs w:val="32"/>
        </w:rPr>
        <w:t>一、采购项目名称</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Times New Roman"/>
          <w:b w:val="0"/>
          <w:bCs w:val="0"/>
          <w:sz w:val="32"/>
          <w:szCs w:val="32"/>
          <w:lang w:eastAsia="zh-CN"/>
        </w:rPr>
      </w:pPr>
      <w:r>
        <w:rPr>
          <w:rFonts w:hint="eastAsia" w:ascii="Times New Roman" w:hAnsi="Times New Roman" w:eastAsia="仿宋_GB2312" w:cs="Times New Roman"/>
          <w:b w:val="0"/>
          <w:bCs w:val="0"/>
          <w:sz w:val="32"/>
          <w:szCs w:val="32"/>
          <w:lang w:eastAsia="zh-CN"/>
        </w:rPr>
        <w:t>促进“高档首饰和珠宝玉石”消费研究服务项目</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黑体" w:eastAsia="黑体" w:cs="黑体"/>
          <w:b w:val="0"/>
          <w:bCs w:val="0"/>
          <w:sz w:val="32"/>
          <w:szCs w:val="32"/>
        </w:rPr>
      </w:pPr>
      <w:r>
        <w:rPr>
          <w:rFonts w:hint="eastAsia" w:ascii="黑体" w:eastAsia="黑体" w:cs="黑体"/>
          <w:b w:val="0"/>
          <w:bCs w:val="0"/>
          <w:sz w:val="32"/>
          <w:szCs w:val="32"/>
          <w:lang w:eastAsia="zh-CN"/>
        </w:rPr>
        <w:t>二</w:t>
      </w:r>
      <w:r>
        <w:rPr>
          <w:rFonts w:hint="eastAsia" w:ascii="黑体" w:eastAsia="黑体" w:cs="黑体"/>
          <w:b w:val="0"/>
          <w:bCs w:val="0"/>
          <w:sz w:val="32"/>
          <w:szCs w:val="32"/>
        </w:rPr>
        <w:t>、服务内容</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楷体" w:eastAsia="楷体" w:cs="楷体"/>
          <w:b w:val="0"/>
          <w:bCs w:val="0"/>
          <w:sz w:val="32"/>
          <w:szCs w:val="32"/>
        </w:rPr>
      </w:pPr>
      <w:r>
        <w:rPr>
          <w:rFonts w:hint="eastAsia" w:ascii="楷体" w:eastAsia="楷体" w:cs="楷体"/>
          <w:b w:val="0"/>
          <w:bCs w:val="0"/>
          <w:sz w:val="32"/>
          <w:szCs w:val="32"/>
        </w:rPr>
        <w:t>（一）数据收集与行业分析</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1.</w:t>
      </w:r>
      <w:r>
        <w:rPr>
          <w:rFonts w:hint="eastAsia" w:ascii="Times New Roman" w:hAnsi="Times New Roman" w:eastAsia="仿宋_GB2312" w:cs="Times New Roman"/>
          <w:b w:val="0"/>
          <w:bCs w:val="0"/>
          <w:sz w:val="32"/>
          <w:szCs w:val="32"/>
        </w:rPr>
        <w:t>数据采集与整理</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收集全省近5年高档首饰、珠宝玉石及其他相关品目（酒、成品油等）的</w:t>
      </w:r>
      <w:r>
        <w:rPr>
          <w:rFonts w:hint="eastAsia" w:ascii="Times New Roman" w:hAnsi="Times New Roman" w:eastAsia="仿宋_GB2312" w:cs="Times New Roman"/>
          <w:b w:val="0"/>
          <w:bCs w:val="0"/>
          <w:sz w:val="32"/>
          <w:szCs w:val="32"/>
          <w:lang w:eastAsia="zh-CN"/>
        </w:rPr>
        <w:t>税收</w:t>
      </w:r>
      <w:r>
        <w:rPr>
          <w:rFonts w:hint="eastAsia" w:ascii="Times New Roman" w:hAnsi="Times New Roman" w:eastAsia="仿宋_GB2312" w:cs="Times New Roman"/>
          <w:b w:val="0"/>
          <w:bCs w:val="0"/>
          <w:sz w:val="32"/>
          <w:szCs w:val="32"/>
        </w:rPr>
        <w:t>征收数据（分地区、分企业）。汇总行业产销数据（产量、销量、销售额、企业分布等），分析产业链各环节税负现状。对接税务、统计、行业协会</w:t>
      </w:r>
      <w:r>
        <w:rPr>
          <w:rFonts w:hint="eastAsia" w:ascii="Times New Roman" w:hAnsi="Times New Roman" w:eastAsia="仿宋_GB2312" w:cs="Times New Roman"/>
          <w:b w:val="0"/>
          <w:bCs w:val="0"/>
          <w:sz w:val="32"/>
          <w:szCs w:val="32"/>
          <w:lang w:eastAsia="zh-CN"/>
        </w:rPr>
        <w:t>及相关企业</w:t>
      </w:r>
      <w:r>
        <w:rPr>
          <w:rFonts w:hint="eastAsia" w:ascii="Times New Roman" w:hAnsi="Times New Roman" w:eastAsia="仿宋_GB2312" w:cs="Times New Roman"/>
          <w:b w:val="0"/>
          <w:bCs w:val="0"/>
          <w:sz w:val="32"/>
          <w:szCs w:val="32"/>
        </w:rPr>
        <w:t>获取权威数据，确保数据真实性和时效性。</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2.</w:t>
      </w:r>
      <w:r>
        <w:rPr>
          <w:rFonts w:hint="eastAsia" w:ascii="Times New Roman" w:hAnsi="Times New Roman" w:eastAsia="仿宋_GB2312" w:cs="Times New Roman"/>
          <w:b w:val="0"/>
          <w:bCs w:val="0"/>
          <w:sz w:val="32"/>
          <w:szCs w:val="32"/>
        </w:rPr>
        <w:t>影响测算与分析</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测算</w:t>
      </w:r>
      <w:r>
        <w:rPr>
          <w:rFonts w:hint="eastAsia" w:ascii="Times New Roman" w:hAnsi="Times New Roman" w:eastAsia="仿宋_GB2312" w:cs="Times New Roman"/>
          <w:b w:val="0"/>
          <w:bCs w:val="0"/>
          <w:sz w:val="32"/>
          <w:szCs w:val="32"/>
          <w:lang w:eastAsia="zh-CN"/>
        </w:rPr>
        <w:t>各</w:t>
      </w:r>
      <w:r>
        <w:rPr>
          <w:rFonts w:hint="eastAsia" w:ascii="Times New Roman" w:hAnsi="Times New Roman" w:eastAsia="仿宋_GB2312" w:cs="Times New Roman"/>
          <w:b w:val="0"/>
          <w:bCs w:val="0"/>
          <w:sz w:val="32"/>
          <w:szCs w:val="32"/>
        </w:rPr>
        <w:t>征收环节对省、市、县三级税收收入的影响</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分析区域间财力分配差异。评估对生产企业、流通企业及终端消费价格的影响，模拟消费者承受能力变化。</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楷体" w:eastAsia="楷体" w:cs="楷体"/>
          <w:b w:val="0"/>
          <w:bCs w:val="0"/>
          <w:sz w:val="32"/>
          <w:szCs w:val="32"/>
        </w:rPr>
      </w:pPr>
      <w:r>
        <w:rPr>
          <w:rFonts w:hint="eastAsia" w:ascii="楷体" w:eastAsia="楷体" w:cs="楷体"/>
          <w:b w:val="0"/>
          <w:bCs w:val="0"/>
          <w:sz w:val="32"/>
          <w:szCs w:val="32"/>
        </w:rPr>
        <w:t>（二）实地调研与论证</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选取省内3-5个典型地区（如长沙、郴州等珠宝产业集中地）开展实地调研，走访企业、税务机关及行业协会，形成调研记录。召开2次专家论证会（含财税、产业经济等领域专家），对方案可行性进行研讨。</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楷体" w:eastAsia="楷体" w:cs="楷体"/>
          <w:b w:val="0"/>
          <w:bCs w:val="0"/>
          <w:sz w:val="32"/>
          <w:szCs w:val="32"/>
        </w:rPr>
      </w:pPr>
      <w:r>
        <w:rPr>
          <w:rFonts w:hint="eastAsia" w:ascii="楷体" w:eastAsia="楷体" w:cs="楷体"/>
          <w:b w:val="0"/>
          <w:bCs w:val="0"/>
          <w:sz w:val="32"/>
          <w:szCs w:val="32"/>
        </w:rPr>
        <w:t>（三）政策建议与报告编制</w:t>
      </w:r>
    </w:p>
    <w:p>
      <w:pPr>
        <w:keepNext w:val="0"/>
        <w:keepLines w:val="0"/>
        <w:pageBreakBefore w:val="0"/>
        <w:kinsoku/>
        <w:wordWrap/>
        <w:overflowPunct/>
        <w:topLinePunct w:val="0"/>
        <w:autoSpaceDE/>
        <w:autoSpaceDN/>
        <w:bidi w:val="0"/>
        <w:spacing w:line="580" w:lineRule="exact"/>
        <w:ind w:firstLine="640" w:firstLineChars="200"/>
        <w:textAlignment w:val="auto"/>
        <w:rPr>
          <w:rFonts w:hint="eastAsia"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lang w:val="en-US" w:eastAsia="zh-CN"/>
        </w:rPr>
        <w:t>科学谋划论证我省后续商务重点工作，提</w:t>
      </w:r>
      <w:bookmarkStart w:id="0" w:name="_GoBack"/>
      <w:bookmarkEnd w:id="0"/>
      <w:r>
        <w:rPr>
          <w:rFonts w:hint="eastAsia" w:ascii="Times New Roman" w:hAnsi="Times New Roman" w:eastAsia="仿宋_GB2312" w:cs="Times New Roman"/>
          <w:b w:val="0"/>
          <w:bCs w:val="0"/>
          <w:sz w:val="32"/>
          <w:szCs w:val="32"/>
          <w:lang w:val="en-US" w:eastAsia="zh-CN"/>
        </w:rPr>
        <w:t>出促进消费持续增长的政策建议。</w:t>
      </w:r>
      <w:r>
        <w:rPr>
          <w:rFonts w:hint="eastAsia" w:ascii="Times New Roman" w:hAnsi="Times New Roman" w:eastAsia="仿宋_GB2312" w:cs="Times New Roman"/>
          <w:b w:val="0"/>
          <w:bCs w:val="0"/>
          <w:sz w:val="32"/>
          <w:szCs w:val="32"/>
        </w:rPr>
        <w:t>提出</w:t>
      </w:r>
      <w:r>
        <w:rPr>
          <w:rFonts w:hint="eastAsia" w:ascii="Times New Roman" w:hAnsi="Times New Roman" w:eastAsia="仿宋_GB2312" w:cs="Times New Roman"/>
          <w:b w:val="0"/>
          <w:bCs w:val="0"/>
          <w:sz w:val="32"/>
          <w:szCs w:val="32"/>
          <w:lang w:eastAsia="zh-CN"/>
        </w:rPr>
        <w:t>促进消费增长</w:t>
      </w:r>
      <w:r>
        <w:rPr>
          <w:rFonts w:hint="eastAsia" w:ascii="Times New Roman" w:hAnsi="Times New Roman" w:eastAsia="仿宋_GB2312" w:cs="Times New Roman"/>
          <w:b w:val="0"/>
          <w:bCs w:val="0"/>
          <w:sz w:val="32"/>
          <w:szCs w:val="32"/>
        </w:rPr>
        <w:t>具体方案、调整建议及方式</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分品目（高档首饰、珠宝玉石等）制定差异化建议，结合湖南产业特点提出配套举措</w:t>
      </w:r>
      <w:r>
        <w:rPr>
          <w:rFonts w:hint="eastAsia"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rPr>
        <w:t>形成《湖南省</w:t>
      </w:r>
      <w:r>
        <w:rPr>
          <w:rFonts w:hint="eastAsia" w:ascii="Times New Roman" w:hAnsi="Times New Roman" w:eastAsia="仿宋_GB2312" w:cs="Times New Roman"/>
          <w:b w:val="0"/>
          <w:bCs w:val="0"/>
          <w:sz w:val="32"/>
          <w:szCs w:val="32"/>
          <w:lang w:eastAsia="zh-CN"/>
        </w:rPr>
        <w:t>高档首饰和珠宝玉石促消费</w:t>
      </w:r>
      <w:r>
        <w:rPr>
          <w:rFonts w:hint="eastAsia" w:ascii="Times New Roman" w:hAnsi="Times New Roman" w:eastAsia="仿宋_GB2312" w:cs="Times New Roman"/>
          <w:b w:val="0"/>
          <w:bCs w:val="0"/>
          <w:sz w:val="32"/>
          <w:szCs w:val="32"/>
        </w:rPr>
        <w:t>政策建议报告》，并通过专家评审验收。</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三、服务预算、</w:t>
      </w:r>
      <w:r>
        <w:rPr>
          <w:rFonts w:hint="default" w:ascii="黑体" w:hAnsi="黑体" w:eastAsia="黑体"/>
          <w:sz w:val="32"/>
          <w:szCs w:val="32"/>
          <w:lang w:val="en-US" w:eastAsia="zh-CN"/>
        </w:rPr>
        <w:t>服务周期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项目预算不超过6</w:t>
      </w:r>
      <w:r>
        <w:rPr>
          <w:rFonts w:hint="eastAsia" w:ascii="Times New Roman" w:hAnsi="Times New Roman" w:eastAsia="仿宋_GB2312" w:cs="Times New Roman"/>
          <w:sz w:val="32"/>
          <w:szCs w:val="32"/>
        </w:rPr>
        <w:t>万元</w:t>
      </w:r>
      <w:r>
        <w:rPr>
          <w:rFonts w:hint="eastAsia" w:ascii="Times New Roman" w:hAnsi="Times New Roman" w:eastAsia="仿宋_GB2312" w:cs="Times New Roman"/>
          <w:sz w:val="32"/>
          <w:szCs w:val="32"/>
          <w:lang w:eastAsia="zh-CN"/>
        </w:rPr>
        <w:t>，服务周期不超过</w:t>
      </w:r>
      <w:r>
        <w:rPr>
          <w:rFonts w:hint="eastAsia" w:ascii="Times New Roman" w:hAnsi="Times New Roman" w:eastAsia="仿宋_GB2312" w:cs="Times New Roman"/>
          <w:sz w:val="32"/>
          <w:szCs w:val="32"/>
          <w:lang w:val="en-US" w:eastAsia="zh-CN"/>
        </w:rPr>
        <w:t>50天</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四、服务要求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（一）</w:t>
      </w:r>
      <w:r>
        <w:rPr>
          <w:rFonts w:hint="eastAsia" w:ascii="Times New Roman" w:hAnsi="Times New Roman" w:eastAsia="仿宋_GB2312" w:cs="Times New Roman"/>
          <w:sz w:val="32"/>
          <w:szCs w:val="32"/>
        </w:rPr>
        <w:t>学术规范与职业准则：研究需严格遵守确保数据来源合法、信息采集合规。研究团队须签署保密协议与利益冲突声明，不得虚构调研案例或篡改企业数据。研究成果引用须注明原始出处，跨境数据使用应符合国家信息安全法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w:t>
      </w:r>
      <w:r>
        <w:rPr>
          <w:rFonts w:hint="eastAsia" w:ascii="Times New Roman" w:hAnsi="Times New Roman" w:eastAsia="仿宋_GB2312" w:cs="Times New Roman"/>
          <w:sz w:val="32"/>
          <w:szCs w:val="32"/>
        </w:rPr>
        <w:t>方法科学与过程严谨：需采用定性与定量相结合的研究方法，案例样本应覆盖湖南省</w:t>
      </w:r>
      <w:r>
        <w:rPr>
          <w:rFonts w:hint="eastAsia" w:ascii="Times New Roman" w:hAnsi="Times New Roman" w:eastAsia="仿宋_GB2312" w:cs="Times New Roman"/>
          <w:sz w:val="32"/>
          <w:szCs w:val="32"/>
          <w:lang w:eastAsia="zh-CN"/>
        </w:rPr>
        <w:t>高档首饰和珠宝玉石</w:t>
      </w:r>
      <w:r>
        <w:rPr>
          <w:rFonts w:hint="eastAsia" w:ascii="Times New Roman" w:hAnsi="Times New Roman" w:eastAsia="仿宋_GB2312" w:cs="Times New Roman"/>
          <w:sz w:val="32"/>
          <w:szCs w:val="32"/>
        </w:rPr>
        <w:t>代表性企业。实地调研需保留完整的访谈记录、问卷底稿等过程性材料，关键结论需通过专家论证与交叉验证。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（三）</w:t>
      </w:r>
      <w:r>
        <w:rPr>
          <w:rFonts w:hint="eastAsia" w:ascii="Times New Roman" w:hAnsi="Times New Roman" w:eastAsia="仿宋_GB2312" w:cs="Times New Roman"/>
          <w:sz w:val="32"/>
          <w:szCs w:val="32"/>
        </w:rPr>
        <w:t>成果导向与政策锚定：政策建议部分需结合湖南省</w:t>
      </w:r>
      <w:r>
        <w:rPr>
          <w:rFonts w:hint="eastAsia" w:ascii="Times New Roman" w:hAnsi="Times New Roman" w:eastAsia="仿宋_GB2312" w:cs="Times New Roman"/>
          <w:sz w:val="32"/>
          <w:szCs w:val="32"/>
          <w:lang w:eastAsia="zh-CN"/>
        </w:rPr>
        <w:t>实际情况</w:t>
      </w:r>
      <w:r>
        <w:rPr>
          <w:rFonts w:hint="eastAsia" w:ascii="Times New Roman" w:hAnsi="Times New Roman" w:eastAsia="仿宋_GB2312" w:cs="Times New Roman"/>
          <w:sz w:val="32"/>
          <w:szCs w:val="32"/>
        </w:rPr>
        <w:t>提出</w:t>
      </w:r>
      <w:r>
        <w:rPr>
          <w:rFonts w:hint="eastAsia" w:ascii="Times New Roman" w:hAnsi="Times New Roman" w:eastAsia="仿宋_GB2312" w:cs="Times New Roman"/>
          <w:sz w:val="32"/>
          <w:szCs w:val="32"/>
          <w:lang w:eastAsia="zh-CN"/>
        </w:rPr>
        <w:t>政策建议和措施清单，</w:t>
      </w:r>
      <w:r>
        <w:rPr>
          <w:rFonts w:hint="eastAsia" w:ascii="Times New Roman" w:hAnsi="Times New Roman" w:eastAsia="仿宋_GB2312" w:cs="Times New Roman"/>
          <w:sz w:val="32"/>
          <w:szCs w:val="32"/>
        </w:rPr>
        <w:t>确保理论创新与实践需求深度耦合。既分析当前的存量，又分析新政后的可能动态变化，争取对我省今后的招商引资、产业布局、财政收入分享等提供有益参考。</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五、投标人资格要求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（一）投标人应符合《中华人民共和国政府采购法》第二十二条的规定。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具有独立承担民事责任的能力；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具有履行合同所必需的设备和专业技术能力；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有依法缴纳税收和社会保障资金的良好记录；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5</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参加政府采购活动前三年内，在经营活动中没有重大违法记录；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6</w:t>
      </w:r>
      <w:r>
        <w:rPr>
          <w:rFonts w:hint="eastAsia"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rPr>
        <w:t>法律、行政法规规定的其他条件。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二</w:t>
      </w:r>
      <w:r>
        <w:rPr>
          <w:rFonts w:hint="eastAsia" w:ascii="Times New Roman" w:hAnsi="Times New Roman" w:eastAsia="仿宋_GB2312" w:cs="Times New Roman"/>
          <w:sz w:val="32"/>
          <w:szCs w:val="32"/>
        </w:rPr>
        <w:t>）本次招标不接受联合体投标</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投标人不得为“信用中国”网站www.creditchina. gov.cn中列入失信被执行人和重大税收违法案件当事人名单的供应商，不得为中国政府采购网（www.ccgp.gov.cn）政府采购严重违法失信行为记录名单中被财政部门禁止参加政府采购活动的供应商（处罚决定规定的时间和地域范围内）。信用信息截止时点为开标当日。</w:t>
      </w:r>
    </w:p>
    <w:p>
      <w:pPr>
        <w:keepNext w:val="0"/>
        <w:keepLines w:val="0"/>
        <w:pageBreakBefore w:val="0"/>
        <w:widowControl w:val="0"/>
        <w:kinsoku/>
        <w:wordWrap/>
        <w:overflowPunct/>
        <w:topLinePunct w:val="0"/>
        <w:autoSpaceDE/>
        <w:autoSpaceDN/>
        <w:bidi w:val="0"/>
        <w:adjustRightInd w:val="0"/>
        <w:snapToGrid w:val="0"/>
        <w:spacing w:line="580" w:lineRule="exact"/>
        <w:ind w:firstLine="640" w:firstLineChars="200"/>
        <w:textAlignment w:val="auto"/>
        <w:rPr>
          <w:rFonts w:hint="default" w:ascii="黑体" w:hAnsi="黑体" w:eastAsia="黑体"/>
          <w:sz w:val="32"/>
          <w:szCs w:val="32"/>
          <w:lang w:val="en-US" w:eastAsia="zh-CN"/>
        </w:rPr>
      </w:pPr>
      <w:r>
        <w:rPr>
          <w:rFonts w:hint="eastAsia" w:ascii="黑体" w:hAnsi="黑体" w:eastAsia="黑体"/>
          <w:sz w:val="32"/>
          <w:szCs w:val="32"/>
          <w:lang w:val="en-US" w:eastAsia="zh-CN"/>
        </w:rPr>
        <w:t>六、其他说明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（一）服务费结算办法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b w:val="0"/>
          <w:bCs w:val="0"/>
          <w:sz w:val="32"/>
          <w:szCs w:val="32"/>
          <w:lang w:eastAsia="zh-CN"/>
        </w:rPr>
        <w:t>提交研究结果</w:t>
      </w:r>
      <w:r>
        <w:rPr>
          <w:rFonts w:hint="eastAsia" w:ascii="Times New Roman" w:hAnsi="Times New Roman" w:eastAsia="仿宋_GB2312" w:cs="Times New Roman"/>
          <w:b w:val="0"/>
          <w:bCs w:val="0"/>
          <w:sz w:val="32"/>
          <w:szCs w:val="32"/>
        </w:rPr>
        <w:t>并通过评审验收</w:t>
      </w:r>
      <w:r>
        <w:rPr>
          <w:rFonts w:hint="eastAsia" w:ascii="Times New Roman" w:hAnsi="Times New Roman" w:eastAsia="仿宋_GB2312" w:cs="Times New Roman"/>
          <w:b w:val="0"/>
          <w:bCs w:val="0"/>
          <w:sz w:val="32"/>
          <w:szCs w:val="32"/>
          <w:lang w:eastAsia="zh-CN"/>
        </w:rPr>
        <w:t>后支付全款</w:t>
      </w:r>
      <w:r>
        <w:rPr>
          <w:rFonts w:hint="eastAsia"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（二）本项目采用费用包干方式服务，供应商应根据项目要求和</w:t>
      </w:r>
      <w:r>
        <w:rPr>
          <w:rFonts w:hint="eastAsia" w:ascii="Times New Roman" w:hAnsi="Times New Roman" w:eastAsia="仿宋_GB2312" w:cs="Times New Roman"/>
          <w:sz w:val="32"/>
          <w:szCs w:val="32"/>
          <w:lang w:eastAsia="zh-CN"/>
        </w:rPr>
        <w:t>实际</w:t>
      </w:r>
      <w:r>
        <w:rPr>
          <w:rFonts w:hint="eastAsia" w:ascii="Times New Roman" w:hAnsi="Times New Roman" w:eastAsia="仿宋_GB2312" w:cs="Times New Roman"/>
          <w:sz w:val="32"/>
          <w:szCs w:val="32"/>
        </w:rPr>
        <w:t>情况，详细列明项目所需的人力、物力、财力等，以及所有人工、管理、财务等所有费用。如成交，在服务过程中出现任何遗漏，均由成交人免费提供，采购人不再支付任何其他费用。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rPr>
        <w:t>（三）对于上述项目要求，供应商应在响应文件中进行回应，作出承诺及说明。</w:t>
      </w:r>
    </w:p>
    <w:p>
      <w:pPr>
        <w:keepNext w:val="0"/>
        <w:keepLines w:val="0"/>
        <w:pageBreakBefore w:val="0"/>
        <w:kinsoku/>
        <w:wordWrap/>
        <w:overflowPunct/>
        <w:topLinePunct w:val="0"/>
        <w:autoSpaceDE/>
        <w:autoSpaceDN/>
        <w:bidi w:val="0"/>
        <w:spacing w:line="580" w:lineRule="exact"/>
        <w:textAlignment w:val="auto"/>
      </w:pPr>
    </w:p>
    <w:sectPr>
      <w:pgSz w:w="11906" w:h="16838"/>
      <w:pgMar w:top="1701" w:right="1474" w:bottom="175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7A"/>
    <w:family w:val="auto"/>
    <w:pitch w:val="default"/>
    <w:sig w:usb0="00000000" w:usb1="00000000"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行楷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altName w:val="FreeSerif"/>
    <w:panose1 w:val="02040503050406030204"/>
    <w:charset w:val="00"/>
    <w:family w:val="roman"/>
    <w:pitch w:val="default"/>
    <w:sig w:usb0="00000000" w:usb1="00000000"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5E29693"/>
    <w:rsid w:val="0E7F5108"/>
    <w:rsid w:val="1E60D512"/>
    <w:rsid w:val="1E7F25CB"/>
    <w:rsid w:val="1FC2C6A0"/>
    <w:rsid w:val="3EFD4487"/>
    <w:rsid w:val="43AB51EE"/>
    <w:rsid w:val="47FEBE3E"/>
    <w:rsid w:val="4F1E7477"/>
    <w:rsid w:val="4F6FE7F1"/>
    <w:rsid w:val="5DC7AF59"/>
    <w:rsid w:val="5EBFCD40"/>
    <w:rsid w:val="5F3B6F1F"/>
    <w:rsid w:val="5F791759"/>
    <w:rsid w:val="5FFF553F"/>
    <w:rsid w:val="627B3D75"/>
    <w:rsid w:val="66BF853A"/>
    <w:rsid w:val="66FEC588"/>
    <w:rsid w:val="68723FAF"/>
    <w:rsid w:val="75FB1582"/>
    <w:rsid w:val="76EB42D6"/>
    <w:rsid w:val="7B6BF9AB"/>
    <w:rsid w:val="7BB73E9B"/>
    <w:rsid w:val="7BBC5DF6"/>
    <w:rsid w:val="7BFB4DB3"/>
    <w:rsid w:val="7CCF77E3"/>
    <w:rsid w:val="7CDDF51A"/>
    <w:rsid w:val="7DAE414F"/>
    <w:rsid w:val="7DFEB560"/>
    <w:rsid w:val="7E4643D8"/>
    <w:rsid w:val="7F7BF33A"/>
    <w:rsid w:val="7FC4F98E"/>
    <w:rsid w:val="7FEF11A4"/>
    <w:rsid w:val="BD8F83E9"/>
    <w:rsid w:val="BF777C82"/>
    <w:rsid w:val="BF97BDE9"/>
    <w:rsid w:val="BF9F7653"/>
    <w:rsid w:val="BFDC0FAC"/>
    <w:rsid w:val="C7FF10B3"/>
    <w:rsid w:val="CF87A290"/>
    <w:rsid w:val="D3FF5AAE"/>
    <w:rsid w:val="D6FB9D3B"/>
    <w:rsid w:val="D7DEA680"/>
    <w:rsid w:val="DE3CEDF5"/>
    <w:rsid w:val="E576EE6A"/>
    <w:rsid w:val="E5E29693"/>
    <w:rsid w:val="E7FE86C9"/>
    <w:rsid w:val="EBFF7B35"/>
    <w:rsid w:val="ECF7515D"/>
    <w:rsid w:val="EFB78A66"/>
    <w:rsid w:val="EFDF7593"/>
    <w:rsid w:val="EFF7EE10"/>
    <w:rsid w:val="F32F43E6"/>
    <w:rsid w:val="F3F7E5EB"/>
    <w:rsid w:val="F6AF78A9"/>
    <w:rsid w:val="F6BDBCB8"/>
    <w:rsid w:val="F6DFAFB9"/>
    <w:rsid w:val="F8EFFEFC"/>
    <w:rsid w:val="F8FB3594"/>
    <w:rsid w:val="F9FF8EF5"/>
    <w:rsid w:val="FB7139F1"/>
    <w:rsid w:val="FD6F908F"/>
    <w:rsid w:val="FD7627FF"/>
    <w:rsid w:val="FEEFF814"/>
    <w:rsid w:val="FFEDE9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4"/>
    <w:basedOn w:val="1"/>
    <w:next w:val="1"/>
    <w:qFormat/>
    <w:uiPriority w:val="9"/>
    <w:pPr>
      <w:keepNext/>
      <w:keepLines/>
      <w:spacing w:before="280" w:after="290" w:line="376" w:lineRule="auto"/>
      <w:outlineLvl w:val="3"/>
    </w:pPr>
    <w:rPr>
      <w:rFonts w:ascii="Cambria" w:hAnsi="Cambria" w:eastAsia="宋体" w:cs="Times New Roman"/>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200" w:firstLineChars="200"/>
    </w:pPr>
  </w:style>
  <w:style w:type="paragraph" w:styleId="3">
    <w:name w:val="Body Text Indent"/>
    <w:basedOn w:val="1"/>
    <w:next w:val="1"/>
    <w:qFormat/>
    <w:uiPriority w:val="0"/>
    <w:pPr>
      <w:spacing w:after="120"/>
      <w:ind w:left="200" w:left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2023-12-08T18:12:00Z</dcterms:created>
  <dc:creator>小糕</dc:creator>
  <cp:lastModifiedBy>xjkp</cp:lastModifiedBy>
  <cp:lastPrinted>2025-04-22T17:39:29Z</cp:lastPrinted>
  <dcterms:modified xsi:type="dcterms:W3CDTF">2025-04-22T17:43:30Z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3FFE9E1E451D35918ECA4767F23F557F</vt:lpwstr>
  </property>
</Properties>
</file>