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sz w:val="40"/>
          <w:szCs w:val="40"/>
          <w:lang w:val="en-US" w:eastAsia="zh-CN"/>
        </w:rPr>
        <w:t>2025年湖南省商务厅出访泰国、印度尼西亚委托服务项目</w:t>
      </w:r>
      <w:r>
        <w:rPr>
          <w:rFonts w:hint="default" w:ascii="Times New Roman" w:hAnsi="Times New Roman" w:eastAsia="方正小标宋简体" w:cs="Times New Roman"/>
          <w:b w:val="0"/>
          <w:bCs w:val="0"/>
          <w:sz w:val="40"/>
          <w:szCs w:val="40"/>
          <w:lang w:eastAsia="zh-CN"/>
        </w:rPr>
        <w:t>磋商</w:t>
      </w:r>
      <w:r>
        <w:rPr>
          <w:rFonts w:hint="default" w:ascii="Times New Roman" w:hAnsi="Times New Roman" w:eastAsia="方正小标宋简体" w:cs="Times New Roman"/>
          <w:b w:val="0"/>
          <w:bCs w:val="0"/>
          <w:sz w:val="40"/>
          <w:szCs w:val="40"/>
        </w:rPr>
        <w:t>文件</w:t>
      </w:r>
    </w:p>
    <w:p>
      <w:pPr>
        <w:pageBreakBefore w:val="0"/>
        <w:kinsoku/>
        <w:wordWrap/>
        <w:overflowPunct/>
        <w:topLinePunct w:val="0"/>
        <w:autoSpaceDE/>
        <w:autoSpaceDN/>
        <w:bidi w:val="0"/>
        <w:spacing w:line="580" w:lineRule="exact"/>
        <w:ind w:firstLine="883" w:firstLineChars="200"/>
        <w:jc w:val="center"/>
        <w:textAlignment w:val="auto"/>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1.项目名称:</w:t>
      </w:r>
      <w:r>
        <w:rPr>
          <w:rFonts w:hint="default" w:ascii="Times New Roman" w:hAnsi="Times New Roman" w:eastAsia="仿宋_GB2312" w:cs="Times New Roman"/>
          <w:b w:val="0"/>
          <w:bCs w:val="0"/>
          <w:color w:val="auto"/>
          <w:sz w:val="32"/>
          <w:szCs w:val="32"/>
          <w:lang w:val="en-US" w:eastAsia="zh-CN"/>
        </w:rPr>
        <w:t>2025年湖南省商务厅出访泰国、印度尼西亚委托服务项目。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2.预算金额: </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万元，主要为我厅出访</w:t>
      </w:r>
      <w:r>
        <w:rPr>
          <w:rFonts w:hint="eastAsia" w:eastAsia="仿宋_GB2312" w:cs="Times New Roman"/>
          <w:color w:val="auto"/>
          <w:sz w:val="32"/>
          <w:szCs w:val="32"/>
          <w:lang w:val="en-US" w:eastAsia="zh-CN"/>
        </w:rPr>
        <w:t>2人（厅</w:t>
      </w:r>
      <w:bookmarkStart w:id="0" w:name="_GoBack"/>
      <w:bookmarkEnd w:id="0"/>
      <w:r>
        <w:rPr>
          <w:rFonts w:hint="eastAsia" w:eastAsia="仿宋_GB2312" w:cs="Times New Roman"/>
          <w:color w:val="auto"/>
          <w:sz w:val="32"/>
          <w:szCs w:val="32"/>
          <w:lang w:val="en-US" w:eastAsia="zh-CN"/>
        </w:rPr>
        <w:t>二级巡视员1人、一级主任科员1人）</w:t>
      </w:r>
      <w:r>
        <w:rPr>
          <w:rFonts w:hint="default" w:ascii="Times New Roman" w:hAnsi="Times New Roman" w:eastAsia="仿宋_GB2312" w:cs="Times New Roman"/>
          <w:color w:val="auto"/>
          <w:sz w:val="32"/>
          <w:szCs w:val="32"/>
          <w:lang w:val="en-US" w:eastAsia="zh-CN"/>
        </w:rPr>
        <w:t>的境外住宿费、伙食费、公杂费的统筹使用，境外地接</w:t>
      </w:r>
      <w:r>
        <w:rPr>
          <w:rFonts w:hint="eastAsia" w:eastAsia="仿宋_GB2312" w:cs="Times New Roman"/>
          <w:color w:val="auto"/>
          <w:sz w:val="32"/>
          <w:szCs w:val="32"/>
          <w:lang w:val="en-US" w:eastAsia="zh-CN"/>
        </w:rPr>
        <w:t>及翻译</w:t>
      </w:r>
      <w:r>
        <w:rPr>
          <w:rFonts w:hint="default" w:ascii="Times New Roman" w:hAnsi="Times New Roman" w:eastAsia="仿宋_GB2312" w:cs="Times New Roman"/>
          <w:color w:val="auto"/>
          <w:sz w:val="32"/>
          <w:szCs w:val="32"/>
          <w:lang w:val="en-US" w:eastAsia="zh-CN"/>
        </w:rPr>
        <w:t>服务费用、境外城市间车辆租赁费、出访手续代办服务费、出访签证费、境外人身财产保险费用等有关费用。</w:t>
      </w:r>
      <w:r>
        <w:rPr>
          <w:rFonts w:hint="eastAsia" w:eastAsia="仿宋_GB2312" w:cs="Times New Roman"/>
          <w:color w:val="auto"/>
          <w:sz w:val="32"/>
          <w:szCs w:val="32"/>
          <w:lang w:val="en-US" w:eastAsia="zh-CN"/>
        </w:rPr>
        <w:t>美</w:t>
      </w:r>
      <w:r>
        <w:rPr>
          <w:rFonts w:hint="default" w:ascii="Times New Roman" w:hAnsi="Times New Roman" w:eastAsia="仿宋_GB2312" w:cs="Times New Roman"/>
          <w:color w:val="auto"/>
          <w:sz w:val="32"/>
          <w:szCs w:val="32"/>
          <w:lang w:val="en-US" w:eastAsia="zh-CN"/>
        </w:rPr>
        <w:t>元按</w:t>
      </w:r>
      <w:r>
        <w:rPr>
          <w:rFonts w:hint="eastAsia" w:eastAsia="仿宋_GB2312" w:cs="Times New Roman"/>
          <w:color w:val="auto"/>
          <w:sz w:val="32"/>
          <w:szCs w:val="32"/>
          <w:lang w:val="en-US" w:eastAsia="zh-CN"/>
        </w:rPr>
        <w:t>7</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汇率</w:t>
      </w:r>
      <w:r>
        <w:rPr>
          <w:rFonts w:hint="default" w:ascii="Times New Roman" w:hAnsi="Times New Roman" w:eastAsia="仿宋_GB2312" w:cs="Times New Roman"/>
          <w:sz w:val="32"/>
          <w:szCs w:val="32"/>
          <w:lang w:eastAsia="zh-CN"/>
        </w:rPr>
        <w:t>计算</w:t>
      </w:r>
      <w:r>
        <w:rPr>
          <w:rFonts w:hint="default" w:ascii="Times New Roman" w:hAnsi="Times New Roman" w:eastAsia="仿宋_GB2312" w:cs="Times New Roman"/>
          <w:color w:val="auto"/>
          <w:sz w:val="32"/>
          <w:szCs w:val="32"/>
          <w:lang w:val="en-US" w:eastAsia="zh-CN"/>
        </w:rPr>
        <w:t>，以实际兑换汇率为准。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3.最高限价: </w:t>
      </w:r>
      <w:r>
        <w:rPr>
          <w:rFonts w:hint="eastAsia" w:eastAsia="仿宋_GB2312" w:cs="Times New Roman"/>
          <w:sz w:val="32"/>
          <w:szCs w:val="32"/>
          <w:lang w:val="en-US" w:eastAsia="zh-CN"/>
        </w:rPr>
        <w:t>7.08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lang w:val="en-US" w:eastAsia="zh-CN"/>
        </w:rPr>
        <w:t>（投标报价不能超过最高限价，否则视为无效投标）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4.采购形式:</w:t>
      </w:r>
      <w:r>
        <w:rPr>
          <w:rFonts w:hint="default" w:ascii="Times New Roman" w:hAnsi="Times New Roman" w:eastAsia="仿宋_GB2312" w:cs="Times New Roman"/>
          <w:color w:val="auto"/>
          <w:sz w:val="32"/>
          <w:szCs w:val="32"/>
          <w:lang w:val="en-US" w:eastAsia="zh-CN"/>
        </w:rPr>
        <w:t>竞争性</w:t>
      </w:r>
      <w:r>
        <w:rPr>
          <w:rFonts w:hint="eastAsia" w:eastAsia="仿宋_GB2312" w:cs="Times New Roman"/>
          <w:color w:val="auto"/>
          <w:sz w:val="32"/>
          <w:szCs w:val="32"/>
          <w:lang w:val="en-US" w:eastAsia="zh-CN"/>
        </w:rPr>
        <w:t>比选</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5.定标方式:</w:t>
      </w:r>
      <w:r>
        <w:rPr>
          <w:rFonts w:hint="default" w:ascii="Times New Roman" w:hAnsi="Times New Roman" w:eastAsia="仿宋_GB2312" w:cs="Times New Roman"/>
          <w:color w:val="auto"/>
          <w:sz w:val="32"/>
          <w:szCs w:val="32"/>
          <w:lang w:val="en-US" w:eastAsia="zh-CN"/>
        </w:rPr>
        <w:t>综合评分（评分细则见附件）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b/>
          <w:bCs/>
          <w:color w:val="auto"/>
          <w:sz w:val="32"/>
          <w:szCs w:val="32"/>
          <w:lang w:val="en-US" w:eastAsia="zh-CN"/>
        </w:rPr>
        <w:t>6.服务周期:</w:t>
      </w:r>
      <w:r>
        <w:rPr>
          <w:rFonts w:hint="default" w:ascii="Times New Roman" w:hAnsi="Times New Roman" w:eastAsia="仿宋_GB2312" w:cs="Times New Roman"/>
          <w:color w:val="auto"/>
          <w:sz w:val="32"/>
          <w:szCs w:val="32"/>
          <w:lang w:val="en-US" w:eastAsia="zh-CN"/>
        </w:rPr>
        <w:t>双方签订合同日起至服务验收合格后结束（预计2个月）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二、出访任务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lang w:val="en-US" w:eastAsia="zh-CN"/>
        </w:rPr>
        <w:t>做好2025年湖南跨交会境外嘉宾邀请，加强湖南跨境电商特色产业带推介和海外仓建设，考察拜访东南亚跨境电商重点平台和企业，对接当地政府部门和商协会等深化经贸合作，省商务厅拟于2025年6月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日至</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lang w:val="en-US" w:eastAsia="zh-CN"/>
        </w:rPr>
        <w:t>日赴</w:t>
      </w:r>
      <w:r>
        <w:rPr>
          <w:rFonts w:hint="eastAsia" w:ascii="Times New Roman" w:hAnsi="Times New Roman" w:eastAsia="仿宋_GB2312" w:cs="Times New Roman"/>
          <w:color w:val="auto"/>
          <w:sz w:val="32"/>
          <w:szCs w:val="32"/>
          <w:lang w:val="en-US" w:eastAsia="zh-CN"/>
        </w:rPr>
        <w:t>泰国</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印度尼西亚</w:t>
      </w:r>
      <w:r>
        <w:rPr>
          <w:rFonts w:hint="default" w:ascii="Times New Roman" w:hAnsi="Times New Roman" w:eastAsia="仿宋_GB2312" w:cs="Times New Roman"/>
          <w:color w:val="auto"/>
          <w:sz w:val="32"/>
          <w:szCs w:val="32"/>
          <w:lang w:val="en-US" w:eastAsia="zh-CN"/>
        </w:rPr>
        <w:t>两国进行经贸出访。主要任务</w:t>
      </w:r>
      <w:r>
        <w:rPr>
          <w:rFonts w:hint="eastAsia" w:eastAsia="仿宋_GB2312" w:cs="Times New Roman"/>
          <w:color w:val="auto"/>
          <w:sz w:val="32"/>
          <w:szCs w:val="32"/>
          <w:lang w:val="en-US" w:eastAsia="zh-CN"/>
        </w:rPr>
        <w:t>计划</w:t>
      </w:r>
      <w:r>
        <w:rPr>
          <w:rFonts w:hint="eastAsia"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（一）泰国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val="en-US" w:eastAsia="zh-CN"/>
        </w:rPr>
        <w:t>是拜访中国驻泰国大使馆经商处，密切与使馆联系，与泰国加强电商等领域经贸合作；</w:t>
      </w:r>
      <w:r>
        <w:rPr>
          <w:rFonts w:hint="eastAsia"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val="en-US" w:eastAsia="zh-CN"/>
        </w:rPr>
        <w:t>是拜会亚洲国际投资商会，对接邀请泰国企业来湘参加2025年跨境电商交易会事宜；三是拜访泰国中小企业局、考察曼谷Punnawithi数字经济新区，加强跨交会推介邀约和对接交流；四是考察Lazada等跨境电商平台，与当地电商企业、直播达人对接交流。五是拜访泰国电商协会，深化电商领域对接合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（二）印度尼西亚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一是拜访中国驻印尼大使馆经商处，密切与使馆联系，与印尼加强电商等领域经贸合作；二是拜访印尼电商协会，深化电商领域对接合作；三是考察莫怡、钛动等我在印</w:t>
      </w:r>
      <w:r>
        <w:rPr>
          <w:rFonts w:hint="eastAsia" w:eastAsia="仿宋_GB2312" w:cs="Times New Roman"/>
          <w:color w:val="auto"/>
          <w:sz w:val="32"/>
          <w:szCs w:val="32"/>
          <w:lang w:val="en-US" w:eastAsia="zh-CN"/>
        </w:rPr>
        <w:t>尼</w:t>
      </w:r>
      <w:r>
        <w:rPr>
          <w:rFonts w:hint="eastAsia" w:ascii="Times New Roman" w:hAnsi="Times New Roman" w:eastAsia="仿宋_GB2312" w:cs="Times New Roman"/>
          <w:color w:val="auto"/>
          <w:sz w:val="32"/>
          <w:szCs w:val="32"/>
          <w:lang w:val="en-US" w:eastAsia="zh-CN"/>
        </w:rPr>
        <w:t>跨境电商代表企业，实地调研F-commerce公司，助推企业开拓东南亚市场；四是考察印尼当地渔具、服装等批发市场，加强湖南渔具及服装等特色产业带推介，探寻合作机遇。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三、服务需求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1.协助收集出访团组人员相关信息，按照外事部门要求办理出境审批、签证等出访相关事项，编制出访手册。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根据出访任务，协助与境外机构或单位做好沟通协调工作，完成境外邀请函、拜访函、对接需求及有关企业背景材料双向传递收发工作等，并根据对接情况制定出访具体行程安排，明确具体活动时间、地点、联络员、活动议程和参加人员等事项。配合收集和准备出访相关材料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3.根据出访日程安排，协助境外公务行程衔接，提前预订车（船、机）票、酒店、活动会议室等，做好出访人员食、住、行等后勤保障工作和出访期间的接待等安排。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4.出访结束后，协助做好证件归还、经费结算等收尾工作。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22"/>
          <w:lang w:eastAsia="zh-CN"/>
        </w:rPr>
      </w:pPr>
      <w:r>
        <w:rPr>
          <w:rFonts w:hint="default" w:ascii="Times New Roman" w:hAnsi="Times New Roman" w:eastAsia="黑体" w:cs="Times New Roman"/>
          <w:bCs/>
          <w:color w:val="auto"/>
          <w:sz w:val="32"/>
          <w:szCs w:val="22"/>
          <w:lang w:eastAsia="zh-CN"/>
        </w:rPr>
        <w:t>四、服务要求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1.对出访有关外事规定、纪律和最新要求熟悉了解，服务经验丰富，能按采购人出访要求制定科学合理的出访方案和日程安排。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配备至少1名熟悉各项出境流程、具备丰富境外服务经验的工作人员，做好因公审批、签证、境外接待保障、活动组织、经费结算等全流程服务，确保出访活动准备充分，组织有力，服务热情到位。若工作人员不符合采购人要求，采购人有权要求替换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3.在服务过程中服从采购人的工作安排，并对工作过程中获知的有关出访人员信息或企业商业秘密等进行严格保密，未经请允许不得私自泄漏，否则根据有关规定承担相关法律责任。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4.完成采购人交办的有关出访的其他工作任务。</w:t>
      </w:r>
    </w:p>
    <w:p>
      <w:pPr>
        <w:pStyle w:val="2"/>
        <w:pageBreakBefore w:val="0"/>
        <w:kinsoku/>
        <w:wordWrap/>
        <w:overflowPunct/>
        <w:topLinePunct w:val="0"/>
        <w:autoSpaceDE/>
        <w:autoSpaceDN/>
        <w:bidi w:val="0"/>
        <w:spacing w:beforeLines="0" w:afterLines="0" w:line="580" w:lineRule="exact"/>
        <w:ind w:firstLine="421" w:firstLineChars="200"/>
        <w:textAlignment w:val="auto"/>
        <w:rPr>
          <w:rFonts w:hint="default" w:ascii="Times New Roman" w:hAnsi="Times New Roman" w:cs="Times New Roman"/>
          <w:lang w:val="en-US" w:eastAsia="zh-CN"/>
        </w:rPr>
      </w:pPr>
    </w:p>
    <w:p>
      <w:pPr>
        <w:pageBreakBefore w:val="0"/>
        <w:kinsoku/>
        <w:wordWrap/>
        <w:overflowPunct/>
        <w:topLinePunct w:val="0"/>
        <w:autoSpaceDE/>
        <w:autoSpaceDN/>
        <w:bidi w:val="0"/>
        <w:spacing w:line="580" w:lineRule="exact"/>
        <w:ind w:firstLine="640" w:firstLineChars="200"/>
        <w:jc w:val="center"/>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br w:type="page"/>
      </w:r>
    </w:p>
    <w:p>
      <w:pPr>
        <w:jc w:val="left"/>
        <w:rPr>
          <w:rFonts w:hint="eastAsia" w:ascii="黑体" w:hAnsi="黑体" w:eastAsia="黑体" w:cs="黑体"/>
          <w:color w:val="auto"/>
          <w:sz w:val="32"/>
          <w:szCs w:val="22"/>
          <w:lang w:val="en-US" w:eastAsia="zh-CN"/>
        </w:rPr>
      </w:pPr>
      <w:r>
        <w:rPr>
          <w:rFonts w:hint="eastAsia" w:ascii="黑体" w:hAnsi="黑体" w:eastAsia="黑体" w:cs="黑体"/>
          <w:color w:val="auto"/>
          <w:sz w:val="32"/>
          <w:szCs w:val="22"/>
          <w:lang w:val="en-US" w:eastAsia="zh-CN"/>
        </w:rPr>
        <w:t>附件：</w:t>
      </w:r>
    </w:p>
    <w:p>
      <w:pPr>
        <w:widowControl/>
        <w:autoSpaceDE/>
        <w:autoSpaceDN/>
        <w:adjustRightInd/>
        <w:ind w:firstLine="560"/>
        <w:jc w:val="center"/>
        <w:rPr>
          <w:rFonts w:ascii="Times New Roman" w:hAnsi="Times New Roman" w:eastAsia="宋体" w:cs="Times New Roman"/>
          <w:sz w:val="21"/>
          <w:szCs w:val="22"/>
          <w:lang w:val="en-US" w:eastAsia="zh-CN" w:bidi="ar-SA"/>
        </w:rPr>
      </w:pPr>
      <w:r>
        <w:rPr>
          <w:rFonts w:ascii="Times New Roman" w:hAnsi="Times New Roman" w:eastAsia="宋体" w:cs="Times New Roman"/>
          <w:b/>
          <w:bCs/>
          <w:sz w:val="28"/>
          <w:szCs w:val="28"/>
        </w:rPr>
        <w:t>评审因素和标准</w:t>
      </w:r>
    </w:p>
    <w:tbl>
      <w:tblPr>
        <w:tblStyle w:val="6"/>
        <w:tblW w:w="53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098"/>
        <w:gridCol w:w="666"/>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112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300" w:lineRule="exact"/>
              <w:ind w:firstLine="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评审因素</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300" w:lineRule="exact"/>
              <w:ind w:firstLine="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计分因素</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300" w:lineRule="exact"/>
              <w:ind w:firstLine="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分值</w:t>
            </w:r>
          </w:p>
        </w:tc>
        <w:tc>
          <w:tcPr>
            <w:tcW w:w="669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300" w:lineRule="exact"/>
              <w:ind w:firstLine="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blHeader/>
          <w:jc w:val="center"/>
        </w:trPr>
        <w:tc>
          <w:tcPr>
            <w:tcW w:w="1122" w:type="dxa"/>
            <w:tcBorders>
              <w:top w:val="single" w:color="auto" w:sz="4" w:space="0"/>
              <w:left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价格部分</w:t>
            </w:r>
          </w:p>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（30分）</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投标报价</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c>
          <w:tcPr>
            <w:tcW w:w="66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t>1、满足采购文件要求且报价最低的供应商的价格为基准价，其价格分为满分30分。其它供应商的价格分统一按照下列公式计算：报价得分=（基准价/投标报价）×30</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t>2、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tblHeader/>
          <w:jc w:val="center"/>
        </w:trPr>
        <w:tc>
          <w:tcPr>
            <w:tcW w:w="1122" w:type="dxa"/>
            <w:vMerge w:val="restart"/>
            <w:tcBorders>
              <w:top w:val="single" w:color="auto" w:sz="4" w:space="0"/>
              <w:left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技术部分（</w:t>
            </w:r>
            <w:r>
              <w:rPr>
                <w:rFonts w:ascii="Times New Roman" w:hAnsi="Times New Roman" w:eastAsia="宋体" w:cs="Times New Roman"/>
                <w:sz w:val="21"/>
                <w:szCs w:val="21"/>
                <w:lang w:val="en-US" w:eastAsia="zh-CN"/>
              </w:rPr>
              <w:t>45</w:t>
            </w:r>
            <w:r>
              <w:rPr>
                <w:rFonts w:ascii="Times New Roman" w:hAnsi="Times New Roman" w:eastAsia="宋体" w:cs="Times New Roman"/>
                <w:sz w:val="21"/>
                <w:szCs w:val="21"/>
              </w:rPr>
              <w:t>）</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服务方案</w:t>
            </w:r>
          </w:p>
        </w:tc>
        <w:tc>
          <w:tcPr>
            <w:tcW w:w="686" w:type="dxa"/>
            <w:tcBorders>
              <w:top w:val="single" w:color="auto" w:sz="4" w:space="0"/>
              <w:left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t>35</w:t>
            </w:r>
          </w:p>
        </w:tc>
        <w:tc>
          <w:tcPr>
            <w:tcW w:w="6693"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t>根据供应商为本次出访活动制订的出访服务方案，包括但不限于：①梳理工作和服务流程；②对访前准备、访中衔接、访后收尾等各环节开展服务方案制订；③出访行程安排及相关材料准备；④经费预算安排；⑤工作措施。</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t>要素齐全，符合采购要求，梳理工作和服务流程内容细致、合理、操作性强，对访前准备、访中衔接、访后收尾等各环节开展服务方案制订详细、具体细化，出访行程安排合理，活动方案制定完善，经费预算安排科学合理，工作措施有力，能确保出访活动准备充分，组织有力，服务热情周到，计35分。每缺少一项要素的扣7分；每有一处内容存在错误或缺陷的扣3分，扣完为止。</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zh-CN" w:eastAsia="zh-CN"/>
              </w:rPr>
            </w:pPr>
            <w:r>
              <w:rPr>
                <w:rFonts w:ascii="Times New Roman" w:hAnsi="Times New Roman" w:eastAsia="宋体" w:cs="Times New Roman"/>
                <w:sz w:val="21"/>
                <w:szCs w:val="21"/>
                <w:lang w:val="zh-CN" w:eastAsia="zh-CN"/>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不完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22" w:type="dxa"/>
            <w:vMerge w:val="continue"/>
            <w:tcBorders>
              <w:left w:val="single" w:color="auto" w:sz="4" w:space="0"/>
              <w:right w:val="single" w:color="auto" w:sz="4" w:space="0"/>
              <w:tl2br w:val="nil"/>
              <w:tr2bl w:val="nil"/>
            </w:tcBorders>
            <w:noWrap w:val="0"/>
            <w:vAlign w:val="center"/>
          </w:tcPr>
          <w:p/>
        </w:tc>
        <w:tc>
          <w:tcPr>
            <w:tcW w:w="1155" w:type="dxa"/>
            <w:tcBorders>
              <w:top w:val="single" w:color="auto" w:sz="4" w:space="0"/>
              <w:left w:val="single" w:color="auto" w:sz="4" w:space="0"/>
              <w:right w:val="single" w:color="auto" w:sz="4" w:space="0"/>
              <w:tl2br w:val="nil"/>
              <w:tr2bl w:val="nil"/>
            </w:tcBorders>
            <w:noWrap w:val="0"/>
            <w:vAlign w:val="center"/>
          </w:tcPr>
          <w:p>
            <w:pPr>
              <w:widowControl/>
              <w:spacing w:line="240" w:lineRule="auto"/>
              <w:ind w:firstLine="0"/>
              <w:jc w:val="center"/>
              <w:textAlignment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0"/>
                <w:sz w:val="21"/>
                <w:szCs w:val="21"/>
                <w:highlight w:val="none"/>
                <w:lang w:eastAsia="zh-CN"/>
              </w:rPr>
              <w:t>工作</w:t>
            </w:r>
            <w:r>
              <w:rPr>
                <w:rFonts w:ascii="Times New Roman" w:hAnsi="Times New Roman" w:eastAsia="宋体" w:cs="Times New Roman"/>
                <w:color w:val="000000"/>
                <w:kern w:val="0"/>
                <w:sz w:val="21"/>
                <w:szCs w:val="21"/>
                <w:highlight w:val="none"/>
              </w:rPr>
              <w:t>计划安排</w:t>
            </w:r>
          </w:p>
        </w:tc>
        <w:tc>
          <w:tcPr>
            <w:tcW w:w="686" w:type="dxa"/>
            <w:tcBorders>
              <w:top w:val="single" w:color="auto" w:sz="4" w:space="0"/>
              <w:left w:val="single" w:color="auto" w:sz="4" w:space="0"/>
              <w:right w:val="single" w:color="auto" w:sz="4" w:space="0"/>
              <w:tl2br w:val="nil"/>
              <w:tr2bl w:val="nil"/>
            </w:tcBorders>
            <w:noWrap w:val="0"/>
            <w:vAlign w:val="center"/>
          </w:tcPr>
          <w:p>
            <w:pPr>
              <w:widowControl/>
              <w:spacing w:line="240" w:lineRule="auto"/>
              <w:ind w:firstLine="0"/>
              <w:jc w:val="center"/>
              <w:textAlignment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auto"/>
                <w:sz w:val="21"/>
                <w:szCs w:val="21"/>
                <w:highlight w:val="none"/>
                <w:lang w:val="en-US" w:eastAsia="zh-CN"/>
              </w:rPr>
              <w:t>10</w:t>
            </w:r>
          </w:p>
        </w:tc>
        <w:tc>
          <w:tcPr>
            <w:tcW w:w="6693"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zh-CN" w:eastAsia="zh-CN"/>
              </w:rPr>
              <w:t>根据供应商针对本项目提供的工作计划安排，</w:t>
            </w:r>
            <w:r>
              <w:rPr>
                <w:rFonts w:ascii="Times New Roman" w:hAnsi="Times New Roman" w:eastAsia="宋体" w:cs="Times New Roman"/>
                <w:sz w:val="21"/>
                <w:szCs w:val="21"/>
                <w:lang w:val="en-US" w:eastAsia="zh-CN"/>
              </w:rPr>
              <w:t>包括但不限于：①</w:t>
            </w:r>
            <w:r>
              <w:rPr>
                <w:rFonts w:ascii="Times New Roman" w:hAnsi="Times New Roman" w:eastAsia="宋体" w:cs="Times New Roman"/>
                <w:sz w:val="21"/>
                <w:szCs w:val="21"/>
                <w:lang w:val="zh-CN" w:eastAsia="zh-CN"/>
              </w:rPr>
              <w:t>整体工作进度计划</w:t>
            </w:r>
            <w:r>
              <w:rPr>
                <w:rFonts w:ascii="Times New Roman" w:hAnsi="Times New Roman" w:eastAsia="宋体" w:cs="Times New Roman"/>
                <w:sz w:val="21"/>
                <w:szCs w:val="21"/>
                <w:lang w:val="en-US" w:eastAsia="zh-CN"/>
              </w:rPr>
              <w:t>及</w:t>
            </w:r>
            <w:r>
              <w:rPr>
                <w:rFonts w:ascii="Times New Roman" w:hAnsi="Times New Roman" w:eastAsia="宋体" w:cs="Times New Roman"/>
                <w:sz w:val="21"/>
                <w:szCs w:val="21"/>
                <w:lang w:val="zh-CN" w:eastAsia="zh-CN"/>
              </w:rPr>
              <w:t>任务划分；②各个时间节点的设置把握。</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zh-CN" w:eastAsia="zh-CN"/>
              </w:rPr>
            </w:pPr>
            <w:r>
              <w:rPr>
                <w:rFonts w:ascii="Times New Roman" w:hAnsi="Times New Roman" w:eastAsia="宋体" w:cs="Times New Roman"/>
                <w:sz w:val="21"/>
                <w:szCs w:val="21"/>
                <w:lang w:val="zh-CN" w:eastAsia="zh-CN"/>
              </w:rPr>
              <w:t>整体工作进度计划安排详细，各个时间节点的设置把握准确，任务划分合理的计</w:t>
            </w:r>
            <w:r>
              <w:rPr>
                <w:rFonts w:ascii="Times New Roman" w:hAnsi="Times New Roman" w:eastAsia="宋体" w:cs="Times New Roman"/>
                <w:sz w:val="21"/>
                <w:szCs w:val="21"/>
                <w:lang w:val="en-US" w:eastAsia="zh-CN"/>
              </w:rPr>
              <w:t>10分。每缺少一项要素的扣5分；每有一处内容存在错误或缺陷的扣2分，扣完为止。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blHeader/>
          <w:jc w:val="center"/>
        </w:trPr>
        <w:tc>
          <w:tcPr>
            <w:tcW w:w="1122" w:type="dxa"/>
            <w:vMerge w:val="restart"/>
            <w:tcBorders>
              <w:top w:val="single" w:color="auto" w:sz="4" w:space="0"/>
              <w:left w:val="single" w:color="auto" w:sz="4" w:space="0"/>
              <w:right w:val="single" w:color="auto" w:sz="4" w:space="0"/>
              <w:tl2br w:val="nil"/>
              <w:tr2bl w:val="nil"/>
            </w:tcBorders>
            <w:noWrap w:val="0"/>
            <w:vAlign w:val="center"/>
          </w:tcPr>
          <w:p>
            <w:pPr>
              <w:widowControl/>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商务部分（2</w:t>
            </w:r>
            <w:r>
              <w:rPr>
                <w:rFonts w:ascii="Times New Roman" w:hAnsi="Times New Roman" w:eastAsia="宋体" w:cs="Times New Roman"/>
                <w:sz w:val="21"/>
                <w:szCs w:val="21"/>
                <w:lang w:val="en-US" w:eastAsia="zh-CN"/>
              </w:rPr>
              <w:t>5</w:t>
            </w:r>
            <w:r>
              <w:rPr>
                <w:rFonts w:ascii="Times New Roman" w:hAnsi="Times New Roman" w:eastAsia="宋体" w:cs="Times New Roman"/>
                <w:sz w:val="21"/>
                <w:szCs w:val="21"/>
              </w:rPr>
              <w:t>分）</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rPr>
            </w:pPr>
            <w:r>
              <w:rPr>
                <w:rFonts w:ascii="Times New Roman" w:hAnsi="Times New Roman" w:eastAsia="宋体" w:cs="Times New Roman"/>
                <w:sz w:val="21"/>
                <w:szCs w:val="24"/>
              </w:rPr>
              <w:t>合理化建议</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lang w:eastAsia="zh-CN"/>
              </w:rPr>
            </w:pPr>
            <w:r>
              <w:rPr>
                <w:rFonts w:ascii="Times New Roman" w:hAnsi="Times New Roman" w:eastAsia="宋体" w:cs="Times New Roman"/>
                <w:sz w:val="21"/>
                <w:szCs w:val="24"/>
                <w:lang w:val="en-US" w:eastAsia="zh-CN"/>
              </w:rPr>
              <w:t>3</w:t>
            </w:r>
          </w:p>
        </w:tc>
        <w:tc>
          <w:tcPr>
            <w:tcW w:w="66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zh-CN" w:eastAsia="zh-CN"/>
              </w:rPr>
            </w:pPr>
            <w:r>
              <w:rPr>
                <w:rFonts w:ascii="Times New Roman" w:hAnsi="Times New Roman" w:eastAsia="宋体" w:cs="Times New Roman"/>
                <w:sz w:val="21"/>
                <w:szCs w:val="21"/>
                <w:lang w:val="zh-CN" w:eastAsia="zh-CN"/>
              </w:rPr>
              <w:t>结合本项目实际情况，供应商提出对当前工作中的多发、复杂、极端问题如何合理应对提出建议；每提供1条可行的合理化建议计</w:t>
            </w:r>
            <w:r>
              <w:rPr>
                <w:rFonts w:ascii="Times New Roman" w:hAnsi="Times New Roman" w:eastAsia="宋体" w:cs="Times New Roman"/>
                <w:sz w:val="21"/>
                <w:szCs w:val="21"/>
                <w:lang w:val="en-US" w:eastAsia="zh-CN"/>
              </w:rPr>
              <w:t>1</w:t>
            </w:r>
            <w:r>
              <w:rPr>
                <w:rFonts w:ascii="Times New Roman" w:hAnsi="Times New Roman" w:eastAsia="宋体" w:cs="Times New Roman"/>
                <w:sz w:val="21"/>
                <w:szCs w:val="21"/>
                <w:lang w:val="zh-CN" w:eastAsia="zh-CN"/>
              </w:rPr>
              <w:t>分，最多计</w:t>
            </w:r>
            <w:r>
              <w:rPr>
                <w:rFonts w:ascii="Times New Roman" w:hAnsi="Times New Roman" w:eastAsia="宋体" w:cs="Times New Roman"/>
                <w:sz w:val="21"/>
                <w:szCs w:val="21"/>
                <w:lang w:val="en-US" w:eastAsia="zh-CN"/>
              </w:rPr>
              <w:t>3</w:t>
            </w:r>
            <w:r>
              <w:rPr>
                <w:rFonts w:ascii="Times New Roman" w:hAnsi="Times New Roman" w:eastAsia="宋体" w:cs="Times New Roman"/>
                <w:sz w:val="21"/>
                <w:szCs w:val="21"/>
                <w:lang w:val="zh-CN" w:eastAsia="zh-CN"/>
              </w:rPr>
              <w:t>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blHeader/>
          <w:jc w:val="center"/>
        </w:trPr>
        <w:tc>
          <w:tcPr>
            <w:tcW w:w="1122" w:type="dxa"/>
            <w:vMerge w:val="continue"/>
            <w:tcBorders>
              <w:left w:val="single" w:color="auto" w:sz="4" w:space="0"/>
              <w:right w:val="single" w:color="auto" w:sz="4" w:space="0"/>
              <w:tl2br w:val="nil"/>
              <w:tr2bl w:val="nil"/>
            </w:tcBorders>
            <w:noWrap w:val="0"/>
            <w:vAlign w:val="center"/>
          </w:tcP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lang w:val="en-US" w:eastAsia="zh-CN"/>
              </w:rPr>
            </w:pPr>
            <w:r>
              <w:rPr>
                <w:rFonts w:ascii="Times New Roman" w:hAnsi="Times New Roman" w:eastAsia="宋体" w:cs="Times New Roman"/>
                <w:sz w:val="21"/>
                <w:szCs w:val="24"/>
                <w:lang w:val="en-US" w:eastAsia="zh-CN"/>
              </w:rPr>
              <w:t>技术力量</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lang w:val="en-US" w:eastAsia="zh-CN"/>
              </w:rPr>
            </w:pPr>
            <w:r>
              <w:rPr>
                <w:rFonts w:ascii="Times New Roman" w:hAnsi="Times New Roman" w:eastAsia="宋体" w:cs="Times New Roman"/>
                <w:sz w:val="21"/>
                <w:szCs w:val="24"/>
                <w:lang w:val="en-US" w:eastAsia="zh-CN"/>
              </w:rPr>
              <w:t>10</w:t>
            </w:r>
          </w:p>
        </w:tc>
        <w:tc>
          <w:tcPr>
            <w:tcW w:w="66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rPr>
                <w:rFonts w:ascii="Times New Roman" w:hAnsi="Times New Roman" w:eastAsia="宋体" w:cs="Times New Roman"/>
                <w:sz w:val="21"/>
                <w:szCs w:val="21"/>
                <w:highlight w:val="none"/>
                <w:lang w:val="en-US" w:eastAsia="zh-CN"/>
              </w:rPr>
            </w:pPr>
            <w:r>
              <w:rPr>
                <w:rFonts w:ascii="Times New Roman" w:hAnsi="Times New Roman" w:eastAsia="宋体" w:cs="Times New Roman"/>
                <w:sz w:val="21"/>
                <w:szCs w:val="21"/>
                <w:highlight w:val="none"/>
                <w:lang w:val="en-US" w:eastAsia="zh-CN"/>
              </w:rPr>
              <w:t>供应商为本项目拟派的服务团队人员中，有熟悉各项出境流程、具备类似境外服务项目经验的，每人计2分，满分10分。</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zh-CN" w:eastAsia="zh-CN"/>
              </w:rPr>
            </w:pPr>
            <w:r>
              <w:rPr>
                <w:rFonts w:ascii="Times New Roman" w:hAnsi="Times New Roman" w:eastAsia="宋体" w:cs="Times New Roman"/>
                <w:sz w:val="21"/>
                <w:szCs w:val="21"/>
                <w:highlight w:val="none"/>
                <w:lang w:val="en-US" w:eastAsia="zh-CN"/>
              </w:rPr>
              <w:t>注：提供相关证明材料并加盖公章，否则不计分。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blHeader/>
          <w:jc w:val="center"/>
        </w:trPr>
        <w:tc>
          <w:tcPr>
            <w:tcW w:w="1122" w:type="dxa"/>
            <w:vMerge w:val="continue"/>
            <w:tcBorders>
              <w:left w:val="single" w:color="auto" w:sz="4" w:space="0"/>
              <w:right w:val="single" w:color="auto" w:sz="4" w:space="0"/>
              <w:tl2br w:val="nil"/>
              <w:tr2bl w:val="nil"/>
            </w:tcBorders>
            <w:noWrap w:val="0"/>
            <w:vAlign w:val="center"/>
          </w:tcP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rPr>
            </w:pPr>
            <w:r>
              <w:rPr>
                <w:rFonts w:ascii="Times New Roman" w:hAnsi="Times New Roman" w:eastAsia="宋体" w:cs="Times New Roman"/>
                <w:sz w:val="21"/>
                <w:szCs w:val="24"/>
              </w:rPr>
              <w:t>业绩</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rPr>
            </w:pPr>
            <w:r>
              <w:rPr>
                <w:rFonts w:ascii="Times New Roman" w:hAnsi="Times New Roman" w:eastAsia="宋体" w:cs="Times New Roman"/>
                <w:sz w:val="21"/>
                <w:szCs w:val="24"/>
              </w:rPr>
              <w:t>1</w:t>
            </w:r>
            <w:r>
              <w:rPr>
                <w:rFonts w:ascii="Times New Roman" w:hAnsi="Times New Roman" w:eastAsia="宋体" w:cs="Times New Roman"/>
                <w:sz w:val="21"/>
                <w:szCs w:val="24"/>
                <w:lang w:val="en-US" w:eastAsia="zh-CN"/>
              </w:rPr>
              <w:t>2</w:t>
            </w:r>
          </w:p>
        </w:tc>
        <w:tc>
          <w:tcPr>
            <w:tcW w:w="66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zh-CN" w:eastAsia="zh-CN"/>
              </w:rPr>
            </w:pPr>
            <w:r>
              <w:rPr>
                <w:rFonts w:ascii="Times New Roman" w:hAnsi="Times New Roman" w:eastAsia="宋体" w:cs="Times New Roman"/>
                <w:sz w:val="21"/>
                <w:szCs w:val="21"/>
                <w:lang w:val="zh-CN" w:eastAsia="zh-CN"/>
              </w:rPr>
              <w:t>供应商</w:t>
            </w:r>
            <w:r>
              <w:rPr>
                <w:rFonts w:ascii="Times New Roman" w:hAnsi="Times New Roman" w:eastAsia="宋体" w:cs="Times New Roman"/>
                <w:sz w:val="21"/>
                <w:szCs w:val="21"/>
                <w:lang w:val="en-US" w:eastAsia="zh-CN"/>
              </w:rPr>
              <w:t>自2024年1月1日（以合同签订时间为准）起至今</w:t>
            </w:r>
            <w:r>
              <w:rPr>
                <w:rFonts w:ascii="Times New Roman" w:hAnsi="Times New Roman" w:eastAsia="宋体" w:cs="Times New Roman"/>
                <w:sz w:val="21"/>
                <w:szCs w:val="21"/>
                <w:lang w:val="zh-CN" w:eastAsia="zh-CN"/>
              </w:rPr>
              <w:t>，具有类似项目业绩的，每项业绩计</w:t>
            </w:r>
            <w:r>
              <w:rPr>
                <w:rFonts w:ascii="Times New Roman" w:hAnsi="Times New Roman" w:eastAsia="宋体" w:cs="Times New Roman"/>
                <w:sz w:val="21"/>
                <w:szCs w:val="21"/>
                <w:lang w:val="en-US" w:eastAsia="zh-CN"/>
              </w:rPr>
              <w:t>3</w:t>
            </w:r>
            <w:r>
              <w:rPr>
                <w:rFonts w:ascii="Times New Roman" w:hAnsi="Times New Roman" w:eastAsia="宋体" w:cs="Times New Roman"/>
                <w:sz w:val="21"/>
                <w:szCs w:val="21"/>
                <w:lang w:val="zh-CN" w:eastAsia="zh-CN"/>
              </w:rPr>
              <w:t>分，计满</w:t>
            </w:r>
            <w:r>
              <w:rPr>
                <w:rFonts w:ascii="Times New Roman" w:hAnsi="Times New Roman" w:eastAsia="宋体" w:cs="Times New Roman"/>
                <w:sz w:val="21"/>
                <w:szCs w:val="21"/>
                <w:lang w:val="en-US" w:eastAsia="zh-CN"/>
              </w:rPr>
              <w:t>12</w:t>
            </w:r>
            <w:r>
              <w:rPr>
                <w:rFonts w:ascii="Times New Roman" w:hAnsi="Times New Roman" w:eastAsia="宋体" w:cs="Times New Roman"/>
                <w:sz w:val="21"/>
                <w:szCs w:val="21"/>
                <w:lang w:val="zh-CN" w:eastAsia="zh-CN"/>
              </w:rPr>
              <w:t>分为止。</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zh-CN" w:eastAsia="zh-CN"/>
              </w:rPr>
              <w:t>注：提供相应的业绩合同复印件</w:t>
            </w:r>
            <w:r>
              <w:rPr>
                <w:rFonts w:ascii="Times New Roman" w:hAnsi="Times New Roman" w:eastAsia="宋体" w:cs="Times New Roman"/>
                <w:sz w:val="21"/>
                <w:szCs w:val="21"/>
                <w:lang w:val="en-US" w:eastAsia="zh-CN"/>
              </w:rPr>
              <w:t>并加盖供应商公章，</w:t>
            </w:r>
            <w:r>
              <w:rPr>
                <w:rFonts w:ascii="Times New Roman" w:hAnsi="Times New Roman" w:eastAsia="宋体" w:cs="Times New Roman"/>
                <w:sz w:val="21"/>
                <w:szCs w:val="21"/>
                <w:lang w:val="zh-CN" w:eastAsia="zh-CN"/>
              </w:rPr>
              <w:t>否则不计分。</w:t>
            </w:r>
          </w:p>
        </w:tc>
      </w:tr>
    </w:tbl>
    <w:p>
      <w:pPr>
        <w:pageBreakBefore w:val="0"/>
        <w:kinsoku/>
        <w:wordWrap/>
        <w:overflowPunct/>
        <w:topLinePunct w:val="0"/>
        <w:autoSpaceDE/>
        <w:autoSpaceDN/>
        <w:bidi w:val="0"/>
        <w:spacing w:line="580" w:lineRule="exact"/>
        <w:ind w:firstLine="420" w:firstLineChars="200"/>
        <w:textAlignment w:val="auto"/>
        <w:rPr>
          <w:rFonts w:hint="default" w:ascii="Times New Roman" w:hAnsi="Times New Roman" w:cs="Times New Roman"/>
        </w:rPr>
      </w:pPr>
    </w:p>
    <w:sectPr>
      <w:headerReference r:id="rId3"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F7BFB814"/>
    <w:rsid w:val="050414F1"/>
    <w:rsid w:val="11895257"/>
    <w:rsid w:val="158AD2D6"/>
    <w:rsid w:val="16504596"/>
    <w:rsid w:val="17F5B207"/>
    <w:rsid w:val="19EFF81D"/>
    <w:rsid w:val="1DF47EFC"/>
    <w:rsid w:val="1FEA4634"/>
    <w:rsid w:val="20631369"/>
    <w:rsid w:val="26FA619E"/>
    <w:rsid w:val="33163F32"/>
    <w:rsid w:val="34B34216"/>
    <w:rsid w:val="35B94A0A"/>
    <w:rsid w:val="38251B3D"/>
    <w:rsid w:val="38451629"/>
    <w:rsid w:val="39E8404C"/>
    <w:rsid w:val="3C376EB8"/>
    <w:rsid w:val="429D65A5"/>
    <w:rsid w:val="47DFEC6E"/>
    <w:rsid w:val="505A4A62"/>
    <w:rsid w:val="51491D32"/>
    <w:rsid w:val="51A52CE0"/>
    <w:rsid w:val="525B13B2"/>
    <w:rsid w:val="559C2433"/>
    <w:rsid w:val="55F39D78"/>
    <w:rsid w:val="56813C13"/>
    <w:rsid w:val="56903ECB"/>
    <w:rsid w:val="576FB9A3"/>
    <w:rsid w:val="57C53DAF"/>
    <w:rsid w:val="5A832F7D"/>
    <w:rsid w:val="5BEF61E0"/>
    <w:rsid w:val="5CD66444"/>
    <w:rsid w:val="5E9A2DDA"/>
    <w:rsid w:val="5FF730CE"/>
    <w:rsid w:val="5FFD947C"/>
    <w:rsid w:val="63CD06A0"/>
    <w:rsid w:val="6713B69F"/>
    <w:rsid w:val="69EFED43"/>
    <w:rsid w:val="6A084668"/>
    <w:rsid w:val="6B4B624F"/>
    <w:rsid w:val="6C3B379E"/>
    <w:rsid w:val="6CBA18DE"/>
    <w:rsid w:val="6CEBE875"/>
    <w:rsid w:val="6DDC6519"/>
    <w:rsid w:val="6F3FE6F3"/>
    <w:rsid w:val="707FD741"/>
    <w:rsid w:val="757334F0"/>
    <w:rsid w:val="76F5E1CE"/>
    <w:rsid w:val="780B1240"/>
    <w:rsid w:val="7B1C7A64"/>
    <w:rsid w:val="7BDFD795"/>
    <w:rsid w:val="7C718945"/>
    <w:rsid w:val="7F77E3E4"/>
    <w:rsid w:val="7FC7E21B"/>
    <w:rsid w:val="7FD6AF69"/>
    <w:rsid w:val="7FF52248"/>
    <w:rsid w:val="82DD8DBB"/>
    <w:rsid w:val="BB398BD5"/>
    <w:rsid w:val="BDDE4EC2"/>
    <w:rsid w:val="C3CCCEF5"/>
    <w:rsid w:val="C79B17AF"/>
    <w:rsid w:val="C7E90170"/>
    <w:rsid w:val="CDB6EB46"/>
    <w:rsid w:val="DBBF942A"/>
    <w:rsid w:val="DDF34638"/>
    <w:rsid w:val="DF77D03C"/>
    <w:rsid w:val="DF97FC0F"/>
    <w:rsid w:val="EAFF9BB0"/>
    <w:rsid w:val="EBF95ECE"/>
    <w:rsid w:val="ECB7E657"/>
    <w:rsid w:val="EF17F55F"/>
    <w:rsid w:val="EF1C8536"/>
    <w:rsid w:val="F5AE5F5C"/>
    <w:rsid w:val="F7BFB814"/>
    <w:rsid w:val="F7FF73AE"/>
    <w:rsid w:val="F7FFF76A"/>
    <w:rsid w:val="FAF75083"/>
    <w:rsid w:val="FB778A96"/>
    <w:rsid w:val="FBFF4CC8"/>
    <w:rsid w:val="FDF72A90"/>
    <w:rsid w:val="FF5FCB04"/>
    <w:rsid w:val="FF7D095F"/>
    <w:rsid w:val="FFED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Lines="0" w:beforeAutospacing="0" w:afterLines="0" w:afterAutospacing="0" w:line="578" w:lineRule="exact"/>
      <w:outlineLvl w:val="3"/>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ind w:left="120"/>
    </w:pPr>
    <w:rPr>
      <w:sz w:val="28"/>
      <w:szCs w:val="2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UserStyle_3 Char"/>
    <w:basedOn w:val="7"/>
    <w:link w:val="9"/>
    <w:qFormat/>
    <w:uiPriority w:val="0"/>
    <w:rPr>
      <w:rFonts w:ascii="Times New Roman" w:hAnsi="Times New Roman" w:eastAsia="宋体" w:cs="Times New Roman"/>
      <w:kern w:val="2"/>
      <w:sz w:val="21"/>
      <w:szCs w:val="24"/>
      <w:lang w:val="en-US" w:eastAsia="zh-CN" w:bidi="ar-SA"/>
    </w:rPr>
  </w:style>
  <w:style w:type="paragraph" w:customStyle="1" w:styleId="9">
    <w:name w:val="UserStyle_3"/>
    <w:next w:val="1"/>
    <w:link w:val="8"/>
    <w:qFormat/>
    <w:uiPriority w:val="0"/>
    <w:pPr>
      <w:snapToGrid w:val="0"/>
      <w:spacing w:before="50" w:after="50" w:line="360" w:lineRule="auto"/>
      <w:ind w:firstLine="20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2659</Words>
  <Characters>2731</Characters>
  <Lines>0</Lines>
  <Paragraphs>0</Paragraphs>
  <TotalTime>2</TotalTime>
  <ScaleCrop>false</ScaleCrop>
  <LinksUpToDate>false</LinksUpToDate>
  <CharactersWithSpaces>2733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2024-12-15T18:26:00Z</dcterms:created>
  <dc:creator>xjkp</dc:creator>
  <cp:lastModifiedBy>xjkp</cp:lastModifiedBy>
  <cp:lastPrinted>2025-05-21T19:02:00Z</cp:lastPrinted>
  <dcterms:modified xsi:type="dcterms:W3CDTF">2025-05-29T17:26:25Z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KSOTemplateDocerSaveRecord">
    <vt:lpwstr>eyJoZGlkIjoiMzMxZTg5MWY5YzBmYjIwOGMxODM5ZDhhZWNhMTBiMzIiLCJ1c2VySWQiOiIxNDk5OTYwNzYwIn0=</vt:lpwstr>
  </property>
  <property fmtid="{D5CDD505-2E9C-101B-9397-08002B2CF9AE}" pid="4" name="ICV">
    <vt:lpwstr>4449AF9F13A340BFB48170334310A39C_13</vt:lpwstr>
  </property>
</Properties>
</file>