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9C3B2F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64D7E4C">
      <w:pPr>
        <w:framePr w:w="6704" w:wrap="auto" w:vAnchor="margin" w:hAnchor="text" w:x="3038" w:y="1504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VMEEMJ+FZXBSJW--GB1-0" w:hAnsi="VMEEMJ+FZXBSJW--GB1-0" w:cs="VMEEMJ+FZXBSJW--GB1-0"/>
          <w:color w:val="000000"/>
          <w:spacing w:val="0"/>
          <w:sz w:val="44"/>
        </w:rPr>
      </w:pPr>
      <w:r>
        <w:rPr>
          <w:rFonts w:ascii="VMEEMJ+FZXBSJW--GB1-0" w:hAnsi="VMEEMJ+FZXBSJW--GB1-0" w:cs="VMEEMJ+FZXBSJW--GB1-0"/>
          <w:color w:val="000000"/>
          <w:spacing w:val="0"/>
          <w:sz w:val="44"/>
        </w:rPr>
        <w:t>2022年湖南省商务厅部门预算</w:t>
      </w:r>
    </w:p>
    <w:p w14:paraId="3B79F969">
      <w:pPr>
        <w:framePr w:w="1279" w:wrap="auto" w:vAnchor="margin" w:hAnchor="text" w:x="5554" w:y="282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目录</w:t>
      </w:r>
    </w:p>
    <w:p w14:paraId="79CD45EA">
      <w:pPr>
        <w:framePr w:w="5073" w:wrap="auto" w:vAnchor="margin" w:hAnchor="text" w:x="2441" w:y="402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第一部分  </w:t>
      </w:r>
      <w:r>
        <w:rPr>
          <w:rFonts w:ascii="ADCHES+TimesNewRomanPS-Bold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年部门预算说明</w:t>
      </w:r>
    </w:p>
    <w:p w14:paraId="66341EB0">
      <w:pPr>
        <w:framePr w:w="5073" w:wrap="auto" w:vAnchor="margin" w:hAnchor="text" w:x="2441" w:y="40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第二部分  </w:t>
      </w:r>
      <w:r>
        <w:rPr>
          <w:rFonts w:ascii="ADCHES+TimesNewRomanPS-Bold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年部门预算表</w:t>
      </w:r>
    </w:p>
    <w:p w14:paraId="1C87BD63">
      <w:pPr>
        <w:framePr w:w="2238" w:wrap="auto" w:vAnchor="margin" w:hAnchor="text" w:x="2441" w:y="522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、收支总表</w:t>
      </w:r>
    </w:p>
    <w:p w14:paraId="2559AA32">
      <w:pPr>
        <w:framePr w:w="2238" w:wrap="auto" w:vAnchor="margin" w:hAnchor="text" w:x="2441" w:y="582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、收入总表</w:t>
      </w:r>
    </w:p>
    <w:p w14:paraId="473DF5B5">
      <w:pPr>
        <w:framePr w:w="2238" w:wrap="auto" w:vAnchor="margin" w:hAnchor="text" w:x="2441" w:y="642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、支出总表</w:t>
      </w:r>
    </w:p>
    <w:p w14:paraId="7A00F8F9">
      <w:pPr>
        <w:framePr w:w="7911" w:wrap="auto" w:vAnchor="margin" w:hAnchor="text" w:x="2441" w:y="702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、支出预算分类汇总表（按政府预算经济分类）</w:t>
      </w:r>
    </w:p>
    <w:p w14:paraId="5DFDC035">
      <w:pPr>
        <w:framePr w:w="7911" w:wrap="auto" w:vAnchor="margin" w:hAnchor="text" w:x="2441" w:y="70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、支出预算分类汇总表（按部门预算经济分类）</w:t>
      </w:r>
    </w:p>
    <w:p w14:paraId="518602E7">
      <w:pPr>
        <w:framePr w:w="7911" w:wrap="auto" w:vAnchor="margin" w:hAnchor="text" w:x="2441" w:y="70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、财政拨款收支总表</w:t>
      </w:r>
    </w:p>
    <w:p w14:paraId="525813DA">
      <w:pPr>
        <w:framePr w:w="3862" w:wrap="auto" w:vAnchor="margin" w:hAnchor="text" w:x="2441" w:y="882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7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、一般公共预算支出表</w:t>
      </w:r>
    </w:p>
    <w:p w14:paraId="4623CEC3">
      <w:pPr>
        <w:framePr w:w="9734" w:wrap="auto" w:vAnchor="margin" w:hAnchor="text" w:x="1800" w:y="9429"/>
        <w:widowControl w:val="0"/>
        <w:autoSpaceDE w:val="0"/>
        <w:autoSpaceDN w:val="0"/>
        <w:spacing w:before="0" w:after="0" w:line="332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8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、一般公共预算基本支出表</w:t>
      </w:r>
      <w:r>
        <w:rPr>
          <w:rFonts w:ascii="JSDPEN+TimesNewRomanPSMT"/>
          <w:color w:val="000000"/>
          <w:spacing w:val="0"/>
          <w:sz w:val="32"/>
        </w:rPr>
        <w:t>-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人员经费（工资福利支出）</w:t>
      </w:r>
    </w:p>
    <w:p w14:paraId="47C11939">
      <w:pPr>
        <w:framePr w:w="9734" w:wrap="auto" w:vAnchor="margin" w:hAnchor="text" w:x="1800" w:y="94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（按政府预算经济分类）</w:t>
      </w:r>
    </w:p>
    <w:p w14:paraId="76940F51">
      <w:pPr>
        <w:framePr w:w="9734" w:wrap="auto" w:vAnchor="margin" w:hAnchor="text" w:x="1800" w:y="10629"/>
        <w:widowControl w:val="0"/>
        <w:autoSpaceDE w:val="0"/>
        <w:autoSpaceDN w:val="0"/>
        <w:spacing w:before="0" w:after="0" w:line="332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9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、一般公共预算基本支出表</w:t>
      </w:r>
      <w:r>
        <w:rPr>
          <w:rFonts w:ascii="JSDPEN+TimesNewRomanPSMT"/>
          <w:color w:val="000000"/>
          <w:spacing w:val="0"/>
          <w:sz w:val="32"/>
        </w:rPr>
        <w:t>-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人员经费（工资福利支出）</w:t>
      </w:r>
    </w:p>
    <w:p w14:paraId="63823903">
      <w:pPr>
        <w:framePr w:w="9734" w:wrap="auto" w:vAnchor="margin" w:hAnchor="text" w:x="1800" w:y="106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（按部门预算经济分类）</w:t>
      </w:r>
    </w:p>
    <w:p w14:paraId="2BFA89B3">
      <w:pPr>
        <w:framePr w:w="9552" w:wrap="auto" w:vAnchor="margin" w:hAnchor="text" w:x="1800" w:y="11829"/>
        <w:widowControl w:val="0"/>
        <w:autoSpaceDE w:val="0"/>
        <w:autoSpaceDN w:val="0"/>
        <w:spacing w:before="0" w:after="0" w:line="332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、一般公共预算基本支出表</w:t>
      </w:r>
      <w:r>
        <w:rPr>
          <w:rFonts w:ascii="JSDPEN+TimesNewRomanPSMT"/>
          <w:color w:val="000000"/>
          <w:spacing w:val="0"/>
          <w:sz w:val="32"/>
        </w:rPr>
        <w:t>-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人员经费（对个人和家庭</w:t>
      </w:r>
    </w:p>
    <w:p w14:paraId="3D124AC2">
      <w:pPr>
        <w:framePr w:w="9552" w:wrap="auto" w:vAnchor="margin" w:hAnchor="text" w:x="1800" w:y="118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的补助）（按政府预算经济分类）</w:t>
      </w:r>
    </w:p>
    <w:p w14:paraId="5C294745">
      <w:pPr>
        <w:framePr w:w="9552" w:wrap="auto" w:vAnchor="margin" w:hAnchor="text" w:x="1800" w:y="11829"/>
        <w:widowControl w:val="0"/>
        <w:autoSpaceDE w:val="0"/>
        <w:autoSpaceDN w:val="0"/>
        <w:spacing w:before="0" w:after="0" w:line="600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、一般公共预算基本支出表</w:t>
      </w:r>
      <w:r>
        <w:rPr>
          <w:rFonts w:ascii="JSDPEN+TimesNewRomanPSMT"/>
          <w:color w:val="000000"/>
          <w:spacing w:val="0"/>
          <w:sz w:val="32"/>
        </w:rPr>
        <w:t>-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人员经费（对个人和家庭</w:t>
      </w:r>
    </w:p>
    <w:p w14:paraId="0B70816A">
      <w:pPr>
        <w:framePr w:w="9552" w:wrap="auto" w:vAnchor="margin" w:hAnchor="text" w:x="1800" w:y="118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的补助）（按部门预算经济分类）</w:t>
      </w:r>
    </w:p>
    <w:p w14:paraId="5A54D16D">
      <w:pPr>
        <w:framePr w:w="9552" w:wrap="auto" w:vAnchor="margin" w:hAnchor="text" w:x="1800" w:y="11829"/>
        <w:widowControl w:val="0"/>
        <w:autoSpaceDE w:val="0"/>
        <w:autoSpaceDN w:val="0"/>
        <w:spacing w:before="0" w:after="0" w:line="600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、一般公共预算基本支出表</w:t>
      </w:r>
      <w:r>
        <w:rPr>
          <w:rFonts w:ascii="JSDPEN+TimesNewRomanPSMT"/>
          <w:color w:val="000000"/>
          <w:spacing w:val="0"/>
          <w:sz w:val="32"/>
        </w:rPr>
        <w:t>-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公用经费（商品和服务支</w:t>
      </w:r>
    </w:p>
    <w:p w14:paraId="5D30D139">
      <w:pPr>
        <w:framePr w:w="9552" w:wrap="auto" w:vAnchor="margin" w:hAnchor="text" w:x="1800" w:y="118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出）（按政府预算经济分类）</w:t>
      </w:r>
    </w:p>
    <w:p w14:paraId="056DACC0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5182CEE0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2D4235C5">
      <w:pPr>
        <w:framePr w:w="9552" w:wrap="auto" w:vAnchor="margin" w:hAnchor="text" w:x="1800" w:y="1629"/>
        <w:widowControl w:val="0"/>
        <w:autoSpaceDE w:val="0"/>
        <w:autoSpaceDN w:val="0"/>
        <w:spacing w:before="0" w:after="0" w:line="332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、一般公共预算基本支出表</w:t>
      </w:r>
      <w:r>
        <w:rPr>
          <w:rFonts w:ascii="JSDPEN+TimesNewRomanPSMT"/>
          <w:color w:val="000000"/>
          <w:spacing w:val="0"/>
          <w:sz w:val="32"/>
        </w:rPr>
        <w:t>-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公用经费（商品和服务支</w:t>
      </w:r>
    </w:p>
    <w:p w14:paraId="6726AA54">
      <w:pPr>
        <w:framePr w:w="9552" w:wrap="auto" w:vAnchor="margin" w:hAnchor="text" w:x="1800" w:y="16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出）（按部门预算经济分类）</w:t>
      </w:r>
    </w:p>
    <w:p w14:paraId="4BEBFA79">
      <w:pPr>
        <w:framePr w:w="5843" w:wrap="auto" w:vAnchor="margin" w:hAnchor="text" w:x="2441" w:y="282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、一般公共预算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“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三公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”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经费支出表</w:t>
      </w:r>
    </w:p>
    <w:p w14:paraId="21F78B1F">
      <w:pPr>
        <w:framePr w:w="5843" w:wrap="auto" w:vAnchor="margin" w:hAnchor="text" w:x="2441" w:y="28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、政府性基金预算支出表</w:t>
      </w:r>
    </w:p>
    <w:p w14:paraId="068EB5BC">
      <w:pPr>
        <w:framePr w:w="9549" w:wrap="auto" w:vAnchor="margin" w:hAnchor="text" w:x="1800" w:y="4029"/>
        <w:widowControl w:val="0"/>
        <w:autoSpaceDE w:val="0"/>
        <w:autoSpaceDN w:val="0"/>
        <w:spacing w:before="0" w:after="0" w:line="332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、政府性基金预算支出分类汇总表（按政府预算经济</w:t>
      </w:r>
    </w:p>
    <w:p w14:paraId="481A0B4C">
      <w:pPr>
        <w:framePr w:w="9549" w:wrap="auto" w:vAnchor="margin" w:hAnchor="text" w:x="1800" w:y="40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分类）</w:t>
      </w:r>
    </w:p>
    <w:p w14:paraId="6016E030">
      <w:pPr>
        <w:framePr w:w="9549" w:wrap="auto" w:vAnchor="margin" w:hAnchor="text" w:x="1800" w:y="5229"/>
        <w:widowControl w:val="0"/>
        <w:autoSpaceDE w:val="0"/>
        <w:autoSpaceDN w:val="0"/>
        <w:spacing w:before="0" w:after="0" w:line="332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17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、政府性基金预算支出分类汇总表（按部门预算经济</w:t>
      </w:r>
    </w:p>
    <w:p w14:paraId="6D8EB641">
      <w:pPr>
        <w:framePr w:w="9549" w:wrap="auto" w:vAnchor="margin" w:hAnchor="text" w:x="1800" w:y="52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分类）</w:t>
      </w:r>
    </w:p>
    <w:p w14:paraId="4F0DB35D">
      <w:pPr>
        <w:framePr w:w="9552" w:wrap="auto" w:vAnchor="margin" w:hAnchor="text" w:x="1800" w:y="6429"/>
        <w:widowControl w:val="0"/>
        <w:autoSpaceDE w:val="0"/>
        <w:autoSpaceDN w:val="0"/>
        <w:spacing w:before="0" w:after="0" w:line="332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18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、国有资本经营预算支出表</w:t>
      </w:r>
    </w:p>
    <w:p w14:paraId="4D7F2827">
      <w:pPr>
        <w:framePr w:w="9552" w:wrap="auto" w:vAnchor="margin" w:hAnchor="text" w:x="1800" w:y="6429"/>
        <w:widowControl w:val="0"/>
        <w:autoSpaceDE w:val="0"/>
        <w:autoSpaceDN w:val="0"/>
        <w:spacing w:before="0" w:after="0" w:line="600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19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、财政专户管理资金预算支出表</w:t>
      </w:r>
    </w:p>
    <w:p w14:paraId="63FDC3A7">
      <w:pPr>
        <w:framePr w:w="9552" w:wrap="auto" w:vAnchor="margin" w:hAnchor="text" w:x="1800" w:y="6429"/>
        <w:widowControl w:val="0"/>
        <w:autoSpaceDE w:val="0"/>
        <w:autoSpaceDN w:val="0"/>
        <w:spacing w:before="0" w:after="0" w:line="600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、省级专项资金预算汇总表</w:t>
      </w:r>
    </w:p>
    <w:p w14:paraId="160FA773">
      <w:pPr>
        <w:framePr w:w="9552" w:wrap="auto" w:vAnchor="margin" w:hAnchor="text" w:x="1800" w:y="6429"/>
        <w:widowControl w:val="0"/>
        <w:autoSpaceDE w:val="0"/>
        <w:autoSpaceDN w:val="0"/>
        <w:spacing w:before="0" w:after="0" w:line="600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、省级专项资金绩效目标表</w:t>
      </w:r>
    </w:p>
    <w:p w14:paraId="36B21485">
      <w:pPr>
        <w:framePr w:w="9552" w:wrap="auto" w:vAnchor="margin" w:hAnchor="text" w:x="1800" w:y="6429"/>
        <w:widowControl w:val="0"/>
        <w:autoSpaceDE w:val="0"/>
        <w:autoSpaceDN w:val="0"/>
        <w:spacing w:before="0" w:after="0" w:line="600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、其他项目支出绩效目标表</w:t>
      </w:r>
    </w:p>
    <w:p w14:paraId="652DD3E6">
      <w:pPr>
        <w:framePr w:w="9552" w:wrap="auto" w:vAnchor="margin" w:hAnchor="text" w:x="1800" w:y="6429"/>
        <w:widowControl w:val="0"/>
        <w:autoSpaceDE w:val="0"/>
        <w:autoSpaceDN w:val="0"/>
        <w:spacing w:before="0" w:after="0" w:line="600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、部门整体支出绩效目标表</w:t>
      </w:r>
    </w:p>
    <w:p w14:paraId="38D69B46">
      <w:pPr>
        <w:framePr w:w="9552" w:wrap="auto" w:vAnchor="margin" w:hAnchor="text" w:x="1800" w:y="6429"/>
        <w:widowControl w:val="0"/>
        <w:autoSpaceDE w:val="0"/>
        <w:autoSpaceDN w:val="0"/>
        <w:spacing w:before="0" w:after="0" w:line="600" w:lineRule="exact"/>
        <w:ind w:left="641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注：以上部门预算报表中，空表表示本部门无相关收支</w:t>
      </w:r>
    </w:p>
    <w:p w14:paraId="0C852808">
      <w:pPr>
        <w:framePr w:w="9552" w:wrap="auto" w:vAnchor="margin" w:hAnchor="text" w:x="1800" w:y="6429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情况。</w:t>
      </w:r>
    </w:p>
    <w:p w14:paraId="341DD455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3192EEA5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7FEDCFF8">
      <w:pPr>
        <w:framePr w:w="5694" w:wrap="auto" w:vAnchor="margin" w:hAnchor="text" w:x="3478" w:y="1559"/>
        <w:widowControl w:val="0"/>
        <w:autoSpaceDE w:val="0"/>
        <w:autoSpaceDN w:val="0"/>
        <w:spacing w:before="0" w:after="0" w:line="429" w:lineRule="exact"/>
        <w:ind w:left="0" w:right="0"/>
        <w:jc w:val="left"/>
        <w:rPr>
          <w:rFonts w:ascii="VMEEMJ+FZXBSJW--GB1-0" w:hAnsi="VMEEMJ+FZXBSJW--GB1-0" w:cs="VMEEMJ+FZXBSJW--GB1-0"/>
          <w:color w:val="000000"/>
          <w:spacing w:val="0"/>
          <w:sz w:val="36"/>
        </w:rPr>
      </w:pPr>
      <w:r>
        <w:rPr>
          <w:rFonts w:ascii="VMEEMJ+FZXBSJW--GB1-0" w:hAnsi="VMEEMJ+FZXBSJW--GB1-0" w:cs="VMEEMJ+FZXBSJW--GB1-0"/>
          <w:color w:val="000000"/>
          <w:spacing w:val="0"/>
          <w:sz w:val="36"/>
        </w:rPr>
        <w:t>第一部分2022年部门预算说明</w:t>
      </w:r>
    </w:p>
    <w:p w14:paraId="432C712A">
      <w:pPr>
        <w:framePr w:w="3038" w:wrap="auto" w:vAnchor="margin" w:hAnchor="text" w:x="2426" w:y="277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一、部门基本概况</w:t>
      </w:r>
    </w:p>
    <w:p w14:paraId="357BAD7C">
      <w:pPr>
        <w:framePr w:w="3048" w:wrap="auto" w:vAnchor="margin" w:hAnchor="text" w:x="2426" w:y="335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FDUFL+KaiTi_GB2312" w:hAnsi="FFDUFL+KaiTi_GB2312" w:cs="FFDUFL+KaiTi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（一）职能职责。</w:t>
      </w:r>
    </w:p>
    <w:p w14:paraId="4DC85752">
      <w:pPr>
        <w:framePr w:w="9734" w:wrap="auto" w:vAnchor="margin" w:hAnchor="text" w:x="1800" w:y="3933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、贯彻执行国家国内外贸易、国际经济合作和区域经</w:t>
      </w:r>
    </w:p>
    <w:p w14:paraId="15E23799">
      <w:pPr>
        <w:framePr w:w="9734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济合作的发展战略、政策，起草我省国内外贸易、招商引资、</w:t>
      </w:r>
    </w:p>
    <w:p w14:paraId="1ABB6A29">
      <w:pPr>
        <w:framePr w:w="9734" w:wrap="auto" w:vAnchor="margin" w:hAnchor="text" w:x="1800" w:y="39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承接产业转移、对外援助、对外投资和对外经济合作的地方</w:t>
      </w:r>
    </w:p>
    <w:p w14:paraId="3AD8A89C">
      <w:pPr>
        <w:framePr w:w="9734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性法规及规章草案、政策措施和实施办法，研究经济全球化、</w:t>
      </w:r>
    </w:p>
    <w:p w14:paraId="2782FB03">
      <w:pPr>
        <w:framePr w:w="9734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区域经济合作、现代流通方式的发展趋势和流通体制改革并</w:t>
      </w:r>
    </w:p>
    <w:p w14:paraId="137949BF">
      <w:pPr>
        <w:framePr w:w="9734" w:wrap="auto" w:vAnchor="margin" w:hAnchor="text" w:x="1800" w:y="39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提出建议。</w:t>
      </w:r>
    </w:p>
    <w:p w14:paraId="3CDCE323">
      <w:pPr>
        <w:framePr w:w="9734" w:wrap="auto" w:vAnchor="margin" w:hAnchor="text" w:x="1800" w:y="7413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、负责推进流通产业结构调整，指导流通企业改革，</w:t>
      </w:r>
    </w:p>
    <w:p w14:paraId="6BB0F9BC">
      <w:pPr>
        <w:framePr w:w="9734" w:wrap="auto" w:vAnchor="margin" w:hAnchor="text" w:x="1800" w:y="741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促进商贸服务业和社区商业发展，提出促进商贸中小企业发</w:t>
      </w:r>
    </w:p>
    <w:p w14:paraId="7EB933AC">
      <w:pPr>
        <w:framePr w:w="9734" w:wrap="auto" w:vAnchor="margin" w:hAnchor="text" w:x="1800" w:y="741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展的政策建议，推动流通标准化和连锁经营、商业特许经营、</w:t>
      </w:r>
    </w:p>
    <w:p w14:paraId="4FFAEDE8">
      <w:pPr>
        <w:framePr w:w="9734" w:wrap="auto" w:vAnchor="margin" w:hAnchor="text" w:x="1800" w:y="741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物流配送、电子商务等现代流通方式的发展。</w:t>
      </w:r>
    </w:p>
    <w:p w14:paraId="62BA16C7">
      <w:pPr>
        <w:framePr w:w="9549" w:wrap="auto" w:vAnchor="margin" w:hAnchor="text" w:x="1800" w:y="9734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、拟订全省国内贸易发展规划，促进城乡市场发展，</w:t>
      </w:r>
    </w:p>
    <w:p w14:paraId="59FA76BF">
      <w:pPr>
        <w:framePr w:w="9549" w:wrap="auto" w:vAnchor="margin" w:hAnchor="text" w:x="1800" w:y="973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研究提出引导国内外资金投向市场体系建设的政策建议，指</w:t>
      </w:r>
    </w:p>
    <w:p w14:paraId="02C6EA8D">
      <w:pPr>
        <w:framePr w:w="9549" w:wrap="auto" w:vAnchor="margin" w:hAnchor="text" w:x="1800" w:y="973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导大宗产品批发市场规划和城市商业网点规划、商业体系建</w:t>
      </w:r>
    </w:p>
    <w:p w14:paraId="5AAAC369">
      <w:pPr>
        <w:framePr w:w="9549" w:wrap="auto" w:vAnchor="margin" w:hAnchor="text" w:x="1800" w:y="973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设工作，推进农村市场体系建设，组织实施农村现代流通网</w:t>
      </w:r>
    </w:p>
    <w:p w14:paraId="359BE48D">
      <w:pPr>
        <w:framePr w:w="9549" w:wrap="auto" w:vAnchor="margin" w:hAnchor="text" w:x="1800" w:y="973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络工程。</w:t>
      </w:r>
    </w:p>
    <w:p w14:paraId="24583C0E">
      <w:pPr>
        <w:framePr w:w="9734" w:wrap="auto" w:vAnchor="margin" w:hAnchor="text" w:x="1800" w:y="12633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、承担牵头协调整顿和规范市场经济秩序工作的责任，</w:t>
      </w:r>
    </w:p>
    <w:p w14:paraId="14D7FCE7">
      <w:pPr>
        <w:framePr w:w="9734" w:wrap="auto" w:vAnchor="margin" w:hAnchor="text" w:x="1800" w:y="126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拟订规范市场秩序的政策；协调全省消除地区封锁、打破行</w:t>
      </w:r>
    </w:p>
    <w:p w14:paraId="2C3EE480">
      <w:pPr>
        <w:framePr w:w="9734" w:wrap="auto" w:vAnchor="margin" w:hAnchor="text" w:x="1800" w:y="126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业垄断的有关工作，规范商贸企业交易行为；推动商务领域</w:t>
      </w:r>
    </w:p>
    <w:p w14:paraId="7D713913">
      <w:pPr>
        <w:framePr w:w="9734" w:wrap="auto" w:vAnchor="margin" w:hAnchor="text" w:x="1800" w:y="126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信用建设，指导商业信用销售，建立市场诚信公共服务平台；</w:t>
      </w:r>
    </w:p>
    <w:p w14:paraId="0E71BBC5">
      <w:pPr>
        <w:framePr w:w="9734" w:wrap="auto" w:vAnchor="margin" w:hAnchor="text" w:x="1800" w:y="126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按有关规定对特殊流通行业进行监督管理。</w:t>
      </w:r>
    </w:p>
    <w:p w14:paraId="272C1D9B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3BE1D389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713EBE1E">
      <w:pPr>
        <w:framePr w:w="9552" w:wrap="auto" w:vAnchor="margin" w:hAnchor="text" w:x="1800" w:y="1612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、承担组织实施重要消费品市场调控和重要生产资料</w:t>
      </w:r>
    </w:p>
    <w:p w14:paraId="444A39B9">
      <w:pPr>
        <w:framePr w:w="9552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流通管理的责任，负责建立健全生活必需品市场供应应急管</w:t>
      </w:r>
    </w:p>
    <w:p w14:paraId="0F5746F3">
      <w:pPr>
        <w:framePr w:w="9552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理机制，监测分析市场运行、商品供求状况，调查分析商品</w:t>
      </w:r>
    </w:p>
    <w:p w14:paraId="34F44E99">
      <w:pPr>
        <w:framePr w:w="9552" w:wrap="auto" w:vAnchor="margin" w:hAnchor="text" w:x="1800" w:y="161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价格信息，进行预测预警和信息引导；按分工负责重要消费</w:t>
      </w:r>
    </w:p>
    <w:p w14:paraId="5B229612">
      <w:pPr>
        <w:framePr w:w="9552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品储备管理和市场调控工作；按有关规定对成品油流通进行</w:t>
      </w:r>
    </w:p>
    <w:p w14:paraId="5D01C8BA">
      <w:pPr>
        <w:framePr w:w="9552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监督管理。</w:t>
      </w:r>
    </w:p>
    <w:p w14:paraId="3F7EC681">
      <w:pPr>
        <w:framePr w:w="9552" w:wrap="auto" w:vAnchor="margin" w:hAnchor="text" w:x="1800" w:y="5092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、贯彻执行国家进出口商品、加工贸易管理办法和进</w:t>
      </w:r>
    </w:p>
    <w:p w14:paraId="46F359CE">
      <w:pPr>
        <w:framePr w:w="9552" w:wrap="auto" w:vAnchor="margin" w:hAnchor="text" w:x="1800" w:y="509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出口管理商品、技术目录，拟订促进外贸增长方式转变的政</w:t>
      </w:r>
    </w:p>
    <w:p w14:paraId="236D1B79">
      <w:pPr>
        <w:framePr w:w="9552" w:wrap="auto" w:vAnchor="margin" w:hAnchor="text" w:x="1800" w:y="509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策措施，组织实施重要工业品、原材料和重要农产品进出口</w:t>
      </w:r>
    </w:p>
    <w:p w14:paraId="092044D7">
      <w:pPr>
        <w:framePr w:w="9552" w:wrap="auto" w:vAnchor="margin" w:hAnchor="text" w:x="1800" w:y="509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总量计划，会同有关部门协调大宗进出口商品，指导贸易促</w:t>
      </w:r>
    </w:p>
    <w:p w14:paraId="1B8862F1">
      <w:pPr>
        <w:framePr w:w="9552" w:wrap="auto" w:vAnchor="margin" w:hAnchor="text" w:x="1800" w:y="509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进活动和外贸促进体系建设。</w:t>
      </w:r>
    </w:p>
    <w:p w14:paraId="59C05EA4">
      <w:pPr>
        <w:framePr w:w="9549" w:wrap="auto" w:vAnchor="margin" w:hAnchor="text" w:x="1800" w:y="7994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7</w:t>
      </w:r>
      <w:r>
        <w:rPr>
          <w:rFonts w:ascii="宋体" w:hAnsi="宋体" w:cs="宋体"/>
          <w:color w:val="000000"/>
          <w:spacing w:val="0"/>
          <w:sz w:val="32"/>
        </w:rPr>
        <w:t>、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贯彻执行国家对外技术贸易、出口管制以及鼓励技</w:t>
      </w:r>
    </w:p>
    <w:p w14:paraId="58BD5497">
      <w:pPr>
        <w:framePr w:w="9549" w:wrap="auto" w:vAnchor="margin" w:hAnchor="text" w:x="1800" w:y="799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术和成套设备进出口的贸易政策，推进进出口贸易标准化工</w:t>
      </w:r>
    </w:p>
    <w:p w14:paraId="2C3474D7">
      <w:pPr>
        <w:framePr w:w="9549" w:wrap="auto" w:vAnchor="margin" w:hAnchor="text" w:x="1800" w:y="799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作；依法监督技术引进、设备进口、国家限制出口技术的工</w:t>
      </w:r>
    </w:p>
    <w:p w14:paraId="6F45AE1A">
      <w:pPr>
        <w:framePr w:w="9549" w:wrap="auto" w:vAnchor="margin" w:hAnchor="text" w:x="1800" w:y="799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作。</w:t>
      </w:r>
    </w:p>
    <w:p w14:paraId="7061E9C7">
      <w:pPr>
        <w:framePr w:w="9549" w:wrap="auto" w:vAnchor="margin" w:hAnchor="text" w:x="1800" w:y="10312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8</w:t>
      </w:r>
      <w:r>
        <w:rPr>
          <w:rFonts w:ascii="宋体" w:hAnsi="宋体" w:cs="宋体"/>
          <w:color w:val="000000"/>
          <w:spacing w:val="0"/>
          <w:sz w:val="32"/>
        </w:rPr>
        <w:t>、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牵头拟订服务贸易发展规划并开展相关工作；会同</w:t>
      </w:r>
    </w:p>
    <w:p w14:paraId="62CD88B5">
      <w:pPr>
        <w:framePr w:w="9549" w:wrap="auto" w:vAnchor="margin" w:hAnchor="text" w:x="1800" w:y="103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有关部门制定促进服务出口、服务外包的规划、政策并组织</w:t>
      </w:r>
    </w:p>
    <w:p w14:paraId="2850A032">
      <w:pPr>
        <w:framePr w:w="9549" w:wrap="auto" w:vAnchor="margin" w:hAnchor="text" w:x="1800" w:y="103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实施，推动服务外包平台建设。</w:t>
      </w:r>
    </w:p>
    <w:p w14:paraId="0CF12EB8">
      <w:pPr>
        <w:framePr w:w="9552" w:wrap="auto" w:vAnchor="margin" w:hAnchor="text" w:x="1800" w:y="12052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9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、贯彻执行我国多双边</w:t>
      </w:r>
      <w:r>
        <w:rPr>
          <w:rFonts w:ascii="JSDPEN+TimesNewRomanPSMT"/>
          <w:color w:val="000000"/>
          <w:spacing w:val="0"/>
          <w:sz w:val="32"/>
        </w:rPr>
        <w:t>(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含区域、自由贸易区</w:t>
      </w:r>
      <w:r>
        <w:rPr>
          <w:rFonts w:ascii="JSDPEN+TimesNewRomanPSMT"/>
          <w:color w:val="000000"/>
          <w:spacing w:val="0"/>
          <w:sz w:val="32"/>
        </w:rPr>
        <w:t>)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经贸合作</w:t>
      </w:r>
    </w:p>
    <w:p w14:paraId="7866D417">
      <w:pPr>
        <w:framePr w:w="9552" w:wrap="auto" w:vAnchor="margin" w:hAnchor="text" w:x="1800" w:y="120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战略和政策，推进我省与其他国家</w:t>
      </w:r>
      <w:r>
        <w:rPr>
          <w:rFonts w:ascii="JSDPEN+TimesNewRomanPSMT"/>
          <w:color w:val="000000"/>
          <w:spacing w:val="0"/>
          <w:sz w:val="32"/>
        </w:rPr>
        <w:t>(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地区</w:t>
      </w:r>
      <w:r>
        <w:rPr>
          <w:rFonts w:ascii="JSDPEN+TimesNewRomanPSMT"/>
          <w:color w:val="000000"/>
          <w:spacing w:val="0"/>
          <w:sz w:val="32"/>
        </w:rPr>
        <w:t>)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的经贸往来与投资</w:t>
      </w:r>
    </w:p>
    <w:p w14:paraId="68C07AEB">
      <w:pPr>
        <w:framePr w:w="9552" w:wrap="auto" w:vAnchor="margin" w:hAnchor="text" w:x="1800" w:y="120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贸易合作；牵头承担全省商务领域涉及世界贸易组织事务的</w:t>
      </w:r>
    </w:p>
    <w:p w14:paraId="0275C5CC">
      <w:pPr>
        <w:framePr w:w="9552" w:wrap="auto" w:vAnchor="margin" w:hAnchor="text" w:x="1800" w:y="1205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相关工作，负责对外经济贸易协调工作。</w:t>
      </w:r>
    </w:p>
    <w:p w14:paraId="43FC8BE1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0C406C1E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4CF65899">
      <w:pPr>
        <w:framePr w:w="9549" w:wrap="auto" w:vAnchor="margin" w:hAnchor="text" w:x="1800" w:y="1612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、负责组织协调反倾销、反补贴、保障措施及其他与</w:t>
      </w:r>
    </w:p>
    <w:p w14:paraId="6E40AA2A">
      <w:pPr>
        <w:framePr w:w="9549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进出口公平贸易相关的工作，协助开展对外贸易调查和产业</w:t>
      </w:r>
    </w:p>
    <w:p w14:paraId="7D8CFB4F">
      <w:pPr>
        <w:framePr w:w="9549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损害调查，指导协调产业安全应对工作。</w:t>
      </w:r>
    </w:p>
    <w:p w14:paraId="478633DA">
      <w:pPr>
        <w:framePr w:w="9566" w:wrap="auto" w:vAnchor="margin" w:hAnchor="text" w:x="1800" w:y="3352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、宏观指导全省招商引资和承接产业转移工作，拟订</w:t>
      </w:r>
    </w:p>
    <w:p w14:paraId="4753D253">
      <w:pPr>
        <w:framePr w:w="9566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并组织实施招商引资和承接产业转移政策；依法核准外商投</w:t>
      </w:r>
    </w:p>
    <w:p w14:paraId="38276633">
      <w:pPr>
        <w:framePr w:w="9566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资企业的设立及变更事项；依法核准重大外商投资项目的合</w:t>
      </w:r>
    </w:p>
    <w:p w14:paraId="6F2C64FA">
      <w:pPr>
        <w:framePr w:w="9566" w:wrap="auto" w:vAnchor="margin" w:hAnchor="text" w:x="1800" w:y="335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同章程及法律特别规定的重大变更事项；依法监督检查外商</w:t>
      </w:r>
    </w:p>
    <w:p w14:paraId="4E02B09D">
      <w:pPr>
        <w:framePr w:w="9566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投资企业执行有关法律法规规章、合同章程的情况并协调解</w:t>
      </w:r>
    </w:p>
    <w:p w14:paraId="1443E50B">
      <w:pPr>
        <w:framePr w:w="9566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决有关问题；指导投资促进及全省外商投资企业审批工作，</w:t>
      </w:r>
    </w:p>
    <w:p w14:paraId="07F095BF">
      <w:pPr>
        <w:framePr w:w="9566" w:wrap="auto" w:vAnchor="margin" w:hAnchor="text" w:x="1800" w:y="335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规范招商引资活动；指导国家级、省级经济技术开发区的有</w:t>
      </w:r>
    </w:p>
    <w:p w14:paraId="58FF1BC8">
      <w:pPr>
        <w:framePr w:w="9566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关工作。</w:t>
      </w:r>
    </w:p>
    <w:p w14:paraId="352CF500">
      <w:pPr>
        <w:framePr w:w="9552" w:wrap="auto" w:vAnchor="margin" w:hAnchor="text" w:x="1800" w:y="7994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、拟订并组织实施对外经济合作政策；依法管理和监</w:t>
      </w:r>
    </w:p>
    <w:p w14:paraId="4EA8FAF9">
      <w:pPr>
        <w:framePr w:w="9552" w:wrap="auto" w:vAnchor="margin" w:hAnchor="text" w:x="1800" w:y="799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督对外承包工程、对外劳务合作等；拟订省内人员出境就业</w:t>
      </w:r>
    </w:p>
    <w:p w14:paraId="51F7047E">
      <w:pPr>
        <w:framePr w:w="9552" w:wrap="auto" w:vAnchor="margin" w:hAnchor="text" w:x="1800" w:y="799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管理政策并组织实施，负责牵头外派劳务和境外就业人员的</w:t>
      </w:r>
    </w:p>
    <w:p w14:paraId="48ED9F8F">
      <w:pPr>
        <w:framePr w:w="9552" w:wrap="auto" w:vAnchor="margin" w:hAnchor="text" w:x="1800" w:y="799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权益保护工作；拟订境外投资的管理办法和具体政策，依法</w:t>
      </w:r>
    </w:p>
    <w:p w14:paraId="08222EC0">
      <w:pPr>
        <w:framePr w:w="9552" w:wrap="auto" w:vAnchor="margin" w:hAnchor="text" w:x="1800" w:y="799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核准省内企业对外投资开办企业</w:t>
      </w:r>
      <w:r>
        <w:rPr>
          <w:rFonts w:ascii="JSDPEN+TimesNewRomanPSMT"/>
          <w:color w:val="000000"/>
          <w:spacing w:val="0"/>
          <w:sz w:val="32"/>
        </w:rPr>
        <w:t>(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金融企业除外</w:t>
      </w:r>
      <w:r>
        <w:rPr>
          <w:rFonts w:ascii="JSDPEN+TimesNewRomanPSMT"/>
          <w:color w:val="000000"/>
          <w:spacing w:val="0"/>
          <w:sz w:val="32"/>
        </w:rPr>
        <w:t>)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。</w:t>
      </w:r>
    </w:p>
    <w:p w14:paraId="369BC19F">
      <w:pPr>
        <w:framePr w:w="9552" w:wrap="auto" w:vAnchor="margin" w:hAnchor="text" w:x="1800" w:y="7994"/>
        <w:widowControl w:val="0"/>
        <w:autoSpaceDE w:val="0"/>
        <w:autoSpaceDN w:val="0"/>
        <w:spacing w:before="0" w:after="0" w:line="581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、贯彻执行国家对外援助政策和方案，协调管理全省</w:t>
      </w:r>
    </w:p>
    <w:p w14:paraId="26804B8B">
      <w:pPr>
        <w:framePr w:w="9552" w:wrap="auto" w:vAnchor="margin" w:hAnchor="text" w:x="1800" w:y="799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承担的对外援助项目；协调管理多双边对我省的无偿援助和</w:t>
      </w:r>
    </w:p>
    <w:p w14:paraId="0970CAC1">
      <w:pPr>
        <w:framePr w:w="9552" w:wrap="auto" w:vAnchor="margin" w:hAnchor="text" w:x="1800" w:y="799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赠款</w:t>
      </w:r>
      <w:r>
        <w:rPr>
          <w:rFonts w:ascii="JSDPEN+TimesNewRomanPSMT"/>
          <w:color w:val="000000"/>
          <w:spacing w:val="0"/>
          <w:sz w:val="32"/>
        </w:rPr>
        <w:t>(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不含财政合作项下外国政府及国际金融组织的赠款</w:t>
      </w:r>
      <w:r>
        <w:rPr>
          <w:rFonts w:ascii="JSDPEN+TimesNewRomanPSMT"/>
          <w:color w:val="000000"/>
          <w:spacing w:val="0"/>
          <w:sz w:val="32"/>
        </w:rPr>
        <w:t>)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等</w:t>
      </w:r>
    </w:p>
    <w:p w14:paraId="5050E914">
      <w:pPr>
        <w:framePr w:w="9552" w:wrap="auto" w:vAnchor="margin" w:hAnchor="text" w:x="1800" w:y="799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发展合作业务。</w:t>
      </w:r>
    </w:p>
    <w:p w14:paraId="2A2481CC">
      <w:pPr>
        <w:framePr w:w="9552" w:wrap="auto" w:vAnchor="margin" w:hAnchor="text" w:x="1800" w:y="13214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、贯彻执行国家对香港、澳门特别行政区和台湾地区</w:t>
      </w:r>
    </w:p>
    <w:p w14:paraId="16E15A55">
      <w:pPr>
        <w:framePr w:w="9552" w:wrap="auto" w:vAnchor="margin" w:hAnchor="text" w:x="1800" w:y="1321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的经贸规划、政策，指导我省对港、澳、台地区贸易和经贸</w:t>
      </w:r>
    </w:p>
    <w:p w14:paraId="4FD38315">
      <w:pPr>
        <w:framePr w:w="9552" w:wrap="auto" w:vAnchor="margin" w:hAnchor="text" w:x="1800" w:y="1321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合作活动，协调港、澳、台商投资管理工作。</w:t>
      </w:r>
    </w:p>
    <w:p w14:paraId="1C710AAA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0106CF64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1D5C3AE5">
      <w:pPr>
        <w:framePr w:w="9916" w:wrap="auto" w:vAnchor="margin" w:hAnchor="text" w:x="1800" w:y="1612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、负责全省对外开放口岸的规划、申报及有关审批工</w:t>
      </w:r>
    </w:p>
    <w:p w14:paraId="43587387">
      <w:pPr>
        <w:framePr w:w="9916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作；协调管理全省口岸工作，推动建立大通关机制。</w:t>
      </w:r>
    </w:p>
    <w:p w14:paraId="350BB0F4">
      <w:pPr>
        <w:framePr w:w="9916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、承担会展业促进与管理有关工作，按照有关规定实</w:t>
      </w:r>
    </w:p>
    <w:p w14:paraId="012486E2">
      <w:pPr>
        <w:framePr w:w="9916" w:wrap="auto" w:vAnchor="margin" w:hAnchor="text" w:x="1800" w:y="161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施在湖南境内举办对外经济技术展览会的许可工作。</w:t>
      </w:r>
    </w:p>
    <w:p w14:paraId="13B98671">
      <w:pPr>
        <w:framePr w:w="9916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17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、承担全省商务系统统计及其它信息发布工作，提供</w:t>
      </w:r>
    </w:p>
    <w:p w14:paraId="67D405E6">
      <w:pPr>
        <w:framePr w:w="9916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信息咨询服务，指导全省流通领域信息网络和电子商务建设。</w:t>
      </w:r>
    </w:p>
    <w:p w14:paraId="279DC740">
      <w:pPr>
        <w:framePr w:w="6257" w:wrap="auto" w:vAnchor="margin" w:hAnchor="text" w:x="2426" w:y="5673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18</w:t>
      </w:r>
      <w:r>
        <w:rPr>
          <w:rFonts w:ascii="宋体" w:hAnsi="宋体" w:cs="宋体"/>
          <w:color w:val="000000"/>
          <w:spacing w:val="0"/>
          <w:sz w:val="32"/>
        </w:rPr>
        <w:t>、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承办省人民政府交办的其他事项。</w:t>
      </w:r>
    </w:p>
    <w:p w14:paraId="27AB1BC7">
      <w:pPr>
        <w:framePr w:w="3048" w:wrap="auto" w:vAnchor="margin" w:hAnchor="text" w:x="2426" w:y="625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FDUFL+KaiTi_GB2312" w:hAnsi="FFDUFL+KaiTi_GB2312" w:cs="FFDUFL+KaiTi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（二）机构设置。</w:t>
      </w:r>
    </w:p>
    <w:p w14:paraId="09C51A58">
      <w:pPr>
        <w:framePr w:w="9566" w:wrap="auto" w:vAnchor="margin" w:hAnchor="text" w:x="1800" w:y="6832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厅机关内设 </w:t>
      </w:r>
      <w:r>
        <w:rPr>
          <w:rFonts w:ascii="JSDPEN+TimesNewRomanPSMT"/>
          <w:color w:val="000000"/>
          <w:spacing w:val="0"/>
          <w:sz w:val="32"/>
        </w:rPr>
        <w:t>27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个处室，具体是办公室、人事处、综合</w:t>
      </w:r>
    </w:p>
    <w:p w14:paraId="0A5A08D9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调研处、法规处（行政审批处）、财务处、市场运行和消费</w:t>
      </w:r>
    </w:p>
    <w:p w14:paraId="090E4F82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促进处、市场体系建设处、流通业发展处、会展业发展处、</w:t>
      </w:r>
    </w:p>
    <w:p w14:paraId="6D63E225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电子商务处、服务贸易和商贸服务业处、对外贸易处、加工</w:t>
      </w:r>
    </w:p>
    <w:p w14:paraId="2B6B8C58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贸易处、投资促进处、投资管理处、园区开放发展处、自贸</w:t>
      </w:r>
    </w:p>
    <w:p w14:paraId="1CA21E7F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区综合协调处、自贸区制度创新处、自贸区评估指导处、对</w:t>
      </w:r>
    </w:p>
    <w:p w14:paraId="27FA768E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外投资和经济合作处、中国</w:t>
      </w:r>
      <w:r>
        <w:rPr>
          <w:rFonts w:ascii="JSDPEN+TimesNewRomanPSMT"/>
          <w:color w:val="000000"/>
          <w:spacing w:val="0"/>
          <w:sz w:val="32"/>
        </w:rPr>
        <w:t>-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非洲经贸博览会秘书处、地区合</w:t>
      </w:r>
    </w:p>
    <w:p w14:paraId="20C52F34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作一处、地区合作二处、口岸国际物流发展处、口岸处、机</w:t>
      </w:r>
    </w:p>
    <w:p w14:paraId="34982BD3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关党委（机关纪委）、离退休人员管理服务处。</w:t>
      </w:r>
    </w:p>
    <w:p w14:paraId="79776957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78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所属事业单位分别为湖南省商务服务中心、湖南省商务</w:t>
      </w:r>
    </w:p>
    <w:p w14:paraId="337DD774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厅信息中心、湖南省商务厅培训中心、湖南省商务厅机关后</w:t>
      </w:r>
    </w:p>
    <w:p w14:paraId="54935EC1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勤服务中心、湖南外贸职业学院、湖南现代物流职业技术学</w:t>
      </w:r>
    </w:p>
    <w:p w14:paraId="7D7BC68B">
      <w:pPr>
        <w:framePr w:w="9566" w:wrap="auto" w:vAnchor="margin" w:hAnchor="text" w:x="1800" w:y="683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院。</w:t>
      </w:r>
    </w:p>
    <w:p w14:paraId="117DE660">
      <w:pPr>
        <w:framePr w:w="3679" w:wrap="auto" w:vAnchor="margin" w:hAnchor="text" w:x="2426" w:y="1437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二、部门预算单位构成</w:t>
      </w:r>
    </w:p>
    <w:p w14:paraId="36D6488D">
      <w:pPr>
        <w:framePr w:w="9196" w:wrap="auto" w:vAnchor="margin" w:hAnchor="text" w:x="2426" w:y="1495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本部门预算为汇总预算，纳入编制范围的预算单位包括：</w:t>
      </w:r>
    </w:p>
    <w:p w14:paraId="02B80CB3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7F6C2256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7983D655">
      <w:pPr>
        <w:framePr w:w="3518" w:wrap="auto" w:vAnchor="margin" w:hAnchor="text" w:x="2426" w:y="1612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、湖南省商务厅本级</w:t>
      </w:r>
    </w:p>
    <w:p w14:paraId="698E2AC2">
      <w:pPr>
        <w:framePr w:w="8829" w:wrap="auto" w:vAnchor="margin" w:hAnchor="text" w:x="2426" w:y="2193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、湖南外贸职业学院、湖南现代物流职业学院、湖南</w:t>
      </w:r>
    </w:p>
    <w:p w14:paraId="197605A9">
      <w:pPr>
        <w:framePr w:w="2719" w:wrap="auto" w:vAnchor="margin" w:hAnchor="text" w:x="1800" w:y="277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省商务服务中心</w:t>
      </w:r>
    </w:p>
    <w:p w14:paraId="0B12A992">
      <w:pPr>
        <w:framePr w:w="3679" w:wrap="auto" w:vAnchor="margin" w:hAnchor="text" w:x="2426" w:y="335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三、部门收支总体情况</w:t>
      </w:r>
    </w:p>
    <w:p w14:paraId="0B0EC444">
      <w:pPr>
        <w:framePr w:w="9552" w:wrap="auto" w:vAnchor="margin" w:hAnchor="text" w:x="1800" w:y="3933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2021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年部门预算为厅本级和所属二级预算单位预算。收</w:t>
      </w:r>
    </w:p>
    <w:p w14:paraId="59207E31">
      <w:pPr>
        <w:framePr w:w="9552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入包括经费拨款、纳入一般公共预算管理的非税收入、纳入</w:t>
      </w:r>
    </w:p>
    <w:p w14:paraId="26FDA265">
      <w:pPr>
        <w:framePr w:w="9552" w:wrap="auto" w:vAnchor="margin" w:hAnchor="text" w:x="1800" w:y="39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专户管理的非税收入以及上级财政补助收入；支出包括保障</w:t>
      </w:r>
    </w:p>
    <w:p w14:paraId="306690D7">
      <w:pPr>
        <w:framePr w:w="9552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部门基本运行的经费，也包括开展商务和开放型经济相关业</w:t>
      </w:r>
    </w:p>
    <w:p w14:paraId="72B64694">
      <w:pPr>
        <w:framePr w:w="9552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务等业务工作经费。我厅 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年部门预算没有政府性基金</w:t>
      </w:r>
    </w:p>
    <w:p w14:paraId="361B0189">
      <w:pPr>
        <w:framePr w:w="9552" w:wrap="auto" w:vAnchor="margin" w:hAnchor="text" w:x="1800" w:y="39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预算拨款、国有资本经营预算收入，也没有使用政府性基金</w:t>
      </w:r>
    </w:p>
    <w:p w14:paraId="09BFF542">
      <w:pPr>
        <w:framePr w:w="9552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预算拨款、国有资本经营预算收入安排的支出，所以公开的</w:t>
      </w:r>
    </w:p>
    <w:p w14:paraId="6EBAA7E0">
      <w:pPr>
        <w:framePr w:w="9552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附件 </w:t>
      </w:r>
      <w:r>
        <w:rPr>
          <w:rFonts w:ascii="JSDPEN+TimesNewRomanPSMT"/>
          <w:color w:val="000000"/>
          <w:spacing w:val="0"/>
          <w:sz w:val="32"/>
        </w:rPr>
        <w:t>15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</w:t>
      </w:r>
      <w:r>
        <w:rPr>
          <w:rFonts w:ascii="JSDPEN+TimesNewRomanPSMT"/>
          <w:color w:val="000000"/>
          <w:spacing w:val="0"/>
          <w:sz w:val="32"/>
        </w:rPr>
        <w:t>16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</w:t>
      </w:r>
      <w:r>
        <w:rPr>
          <w:rFonts w:ascii="JSDPEN+TimesNewRomanPSMT"/>
          <w:color w:val="000000"/>
          <w:spacing w:val="0"/>
          <w:sz w:val="32"/>
        </w:rPr>
        <w:t>17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</w:t>
      </w:r>
      <w:r>
        <w:rPr>
          <w:rFonts w:ascii="JSDPEN+TimesNewRomanPSMT"/>
          <w:color w:val="000000"/>
          <w:spacing w:val="0"/>
          <w:sz w:val="32"/>
        </w:rPr>
        <w:t>18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表均为空。</w:t>
      </w:r>
    </w:p>
    <w:p w14:paraId="18BF99A2">
      <w:pPr>
        <w:framePr w:w="9734" w:wrap="auto" w:vAnchor="margin" w:hAnchor="text" w:x="1800" w:y="8572"/>
        <w:widowControl w:val="0"/>
        <w:autoSpaceDE w:val="0"/>
        <w:autoSpaceDN w:val="0"/>
        <w:spacing w:before="0" w:after="0" w:line="319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（一）收入预算：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包括一般公共预算、政府性基金、国</w:t>
      </w:r>
    </w:p>
    <w:p w14:paraId="65A4EF93">
      <w:pPr>
        <w:framePr w:w="9734" w:wrap="auto" w:vAnchor="margin" w:hAnchor="text" w:x="1800" w:y="857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有资本经营预算等财政拨款收入，以及经营收入、事业收入</w:t>
      </w:r>
    </w:p>
    <w:p w14:paraId="5B46E459">
      <w:pPr>
        <w:framePr w:w="9734" w:wrap="auto" w:vAnchor="margin" w:hAnchor="text" w:x="1800" w:y="857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等单位资金。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年本部门收入预算  </w:t>
      </w:r>
      <w:r>
        <w:rPr>
          <w:rFonts w:ascii="JSDPEN+TimesNewRomanPSMT"/>
          <w:color w:val="000000"/>
          <w:spacing w:val="0"/>
          <w:sz w:val="32"/>
        </w:rPr>
        <w:t>46797.72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万元，其中，</w:t>
      </w:r>
    </w:p>
    <w:p w14:paraId="03BCEF6D">
      <w:pPr>
        <w:framePr w:w="9734" w:wrap="auto" w:vAnchor="margin" w:hAnchor="text" w:x="1800" w:y="857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一般公共预算  </w:t>
      </w:r>
      <w:r>
        <w:rPr>
          <w:rFonts w:ascii="JSDPEN+TimesNewRomanPSMT"/>
          <w:color w:val="000000"/>
          <w:spacing w:val="0"/>
          <w:sz w:val="32"/>
        </w:rPr>
        <w:t>26813.94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万元，纳入专户管理的非税收入</w:t>
      </w:r>
    </w:p>
    <w:p w14:paraId="3B610598">
      <w:pPr>
        <w:framePr w:w="9734" w:wrap="auto" w:vAnchor="margin" w:hAnchor="text" w:x="1800" w:y="857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9625.61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万元，上级财政补助收入  </w:t>
      </w:r>
      <w:r>
        <w:rPr>
          <w:rFonts w:ascii="JSDPEN+TimesNewRomanPSMT"/>
          <w:color w:val="000000"/>
          <w:spacing w:val="0"/>
          <w:sz w:val="32"/>
        </w:rPr>
        <w:t>2857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万元，上年结转结余</w:t>
      </w:r>
    </w:p>
    <w:p w14:paraId="0BF3A2F5">
      <w:pPr>
        <w:framePr w:w="9734" w:wrap="auto" w:vAnchor="margin" w:hAnchor="text" w:x="1800" w:y="857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7501.17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万元。收入较去年减少  </w:t>
      </w:r>
      <w:r>
        <w:rPr>
          <w:rFonts w:ascii="ADCHES+TimesNewRomanPS-BoldMT"/>
          <w:color w:val="000000"/>
          <w:spacing w:val="0"/>
          <w:sz w:val="32"/>
        </w:rPr>
        <w:t>3963.34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万元，主要是消费促</w:t>
      </w:r>
    </w:p>
    <w:p w14:paraId="39AB7AC0">
      <w:pPr>
        <w:framePr w:w="9734" w:wrap="auto" w:vAnchor="margin" w:hAnchor="text" w:x="1800" w:y="857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进、中非经贸博览会等一次性项目减少所致。</w:t>
      </w:r>
    </w:p>
    <w:p w14:paraId="3304FAB6">
      <w:pPr>
        <w:framePr w:w="9549" w:wrap="auto" w:vAnchor="margin" w:hAnchor="text" w:x="1800" w:y="12633"/>
        <w:widowControl w:val="0"/>
        <w:autoSpaceDE w:val="0"/>
        <w:autoSpaceDN w:val="0"/>
        <w:spacing w:before="0" w:after="0" w:line="332" w:lineRule="exact"/>
        <w:ind w:left="626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（二）支出预算：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年本部门支出预算  </w:t>
      </w:r>
      <w:r>
        <w:rPr>
          <w:rFonts w:ascii="JSDPEN+TimesNewRomanPSMT"/>
          <w:color w:val="000000"/>
          <w:spacing w:val="0"/>
          <w:sz w:val="32"/>
        </w:rPr>
        <w:t>46797.72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</w:t>
      </w:r>
    </w:p>
    <w:p w14:paraId="7C207458">
      <w:pPr>
        <w:framePr w:w="9549" w:wrap="auto" w:vAnchor="margin" w:hAnchor="text" w:x="1800" w:y="126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元，其中，一般公共服务 </w:t>
      </w:r>
      <w:r>
        <w:rPr>
          <w:rFonts w:ascii="JSDPEN+TimesNewRomanPSMT"/>
          <w:color w:val="000000"/>
          <w:spacing w:val="0"/>
          <w:sz w:val="32"/>
        </w:rPr>
        <w:t>13805.44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万元，教育 </w:t>
      </w:r>
      <w:r>
        <w:rPr>
          <w:rFonts w:ascii="JSDPEN+TimesNewRomanPSMT"/>
          <w:color w:val="000000"/>
          <w:spacing w:val="0"/>
          <w:sz w:val="32"/>
        </w:rPr>
        <w:t>25642.18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</w:t>
      </w:r>
    </w:p>
    <w:p w14:paraId="27AE4970">
      <w:pPr>
        <w:framePr w:w="9549" w:wrap="auto" w:vAnchor="margin" w:hAnchor="text" w:x="1800" w:y="126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元，科学技术 </w:t>
      </w:r>
      <w:r>
        <w:rPr>
          <w:rFonts w:ascii="JSDPEN+TimesNewRomanPSMT"/>
          <w:color w:val="000000"/>
          <w:spacing w:val="0"/>
          <w:sz w:val="32"/>
        </w:rPr>
        <w:t>9.6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万元，社会保障和就业 </w:t>
      </w:r>
      <w:r>
        <w:rPr>
          <w:rFonts w:ascii="JSDPEN+TimesNewRomanPSMT"/>
          <w:color w:val="000000"/>
          <w:spacing w:val="0"/>
          <w:sz w:val="32"/>
        </w:rPr>
        <w:t>4219.02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万元，卫</w:t>
      </w:r>
    </w:p>
    <w:p w14:paraId="4FB9ACEF">
      <w:pPr>
        <w:framePr w:w="9549" w:wrap="auto" w:vAnchor="margin" w:hAnchor="text" w:x="1800" w:y="126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生健康 </w:t>
      </w:r>
      <w:r>
        <w:rPr>
          <w:rFonts w:ascii="JSDPEN+TimesNewRomanPSMT"/>
          <w:color w:val="000000"/>
          <w:spacing w:val="0"/>
          <w:sz w:val="32"/>
        </w:rPr>
        <w:t>235.92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万元，商业服务业等 </w:t>
      </w:r>
      <w:r>
        <w:rPr>
          <w:rFonts w:ascii="JSDPEN+TimesNewRomanPSMT"/>
          <w:color w:val="000000"/>
          <w:spacing w:val="0"/>
          <w:sz w:val="32"/>
        </w:rPr>
        <w:t>1144.56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万元，住房保障</w:t>
      </w:r>
    </w:p>
    <w:p w14:paraId="6AF47DC4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4A03205E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05CC7DC3">
      <w:pPr>
        <w:framePr w:w="9547" w:wrap="auto" w:vAnchor="margin" w:hAnchor="text" w:x="1800" w:y="1612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1741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万元。支出较去年减少  </w:t>
      </w:r>
      <w:r>
        <w:rPr>
          <w:rFonts w:ascii="ADCHES+TimesNewRomanPS-BoldMT"/>
          <w:color w:val="000000"/>
          <w:spacing w:val="0"/>
          <w:sz w:val="32"/>
        </w:rPr>
        <w:t>3963.34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万元，主要是部门用于</w:t>
      </w:r>
    </w:p>
    <w:p w14:paraId="36E05FD4">
      <w:pPr>
        <w:framePr w:w="9547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开展消费促进等工作的支出下降所致。</w:t>
      </w:r>
    </w:p>
    <w:p w14:paraId="28BE327D">
      <w:pPr>
        <w:framePr w:w="4416" w:wrap="auto" w:vAnchor="margin" w:hAnchor="text" w:x="2460" w:y="277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四、一般公共预算拨款支出</w:t>
      </w:r>
    </w:p>
    <w:p w14:paraId="00519EC4">
      <w:pPr>
        <w:framePr w:w="9919" w:wrap="auto" w:vAnchor="margin" w:hAnchor="text" w:x="1800" w:y="3352"/>
        <w:widowControl w:val="0"/>
        <w:autoSpaceDE w:val="0"/>
        <w:autoSpaceDN w:val="0"/>
        <w:spacing w:before="0" w:after="0" w:line="332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年本部门一般公共预算拨款支出预算  </w:t>
      </w:r>
      <w:r>
        <w:rPr>
          <w:rFonts w:ascii="JSDPEN+TimesNewRomanPSMT"/>
          <w:color w:val="000000"/>
          <w:spacing w:val="0"/>
          <w:sz w:val="32"/>
        </w:rPr>
        <w:t>37172.11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</w:t>
      </w:r>
    </w:p>
    <w:p w14:paraId="0894F200">
      <w:pPr>
        <w:framePr w:w="9919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元，其中，一般公共服务支出 </w:t>
      </w:r>
      <w:r>
        <w:rPr>
          <w:rFonts w:ascii="JSDPEN+TimesNewRomanPSMT"/>
          <w:color w:val="000000"/>
          <w:spacing w:val="0"/>
          <w:sz w:val="32"/>
        </w:rPr>
        <w:t>13805.44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万元，占  </w:t>
      </w:r>
      <w:r>
        <w:rPr>
          <w:rFonts w:ascii="JSDPEN+TimesNewRomanPSMT"/>
          <w:color w:val="000000"/>
          <w:spacing w:val="0"/>
          <w:sz w:val="32"/>
        </w:rPr>
        <w:t>37.14%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；</w:t>
      </w:r>
    </w:p>
    <w:p w14:paraId="34AF37F2">
      <w:pPr>
        <w:framePr w:w="9919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教育支出 </w:t>
      </w:r>
      <w:r>
        <w:rPr>
          <w:rFonts w:ascii="JSDPEN+TimesNewRomanPSMT"/>
          <w:color w:val="000000"/>
          <w:spacing w:val="0"/>
          <w:sz w:val="32"/>
        </w:rPr>
        <w:t>16935.71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万元，占  </w:t>
      </w:r>
      <w:r>
        <w:rPr>
          <w:rFonts w:ascii="JSDPEN+TimesNewRomanPSMT"/>
          <w:color w:val="000000"/>
          <w:spacing w:val="0"/>
          <w:sz w:val="32"/>
        </w:rPr>
        <w:t>45.56%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；科学技术支出 </w:t>
      </w:r>
      <w:r>
        <w:rPr>
          <w:rFonts w:ascii="JSDPEN+TimesNewRomanPSMT"/>
          <w:color w:val="000000"/>
          <w:spacing w:val="0"/>
          <w:sz w:val="32"/>
        </w:rPr>
        <w:t>9.6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</w:t>
      </w:r>
    </w:p>
    <w:p w14:paraId="4B3E7B43">
      <w:pPr>
        <w:framePr w:w="9919" w:wrap="auto" w:vAnchor="margin" w:hAnchor="text" w:x="1800" w:y="335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占 </w:t>
      </w:r>
      <w:r>
        <w:rPr>
          <w:rFonts w:ascii="JSDPEN+TimesNewRomanPSMT"/>
          <w:color w:val="000000"/>
          <w:spacing w:val="0"/>
          <w:sz w:val="32"/>
        </w:rPr>
        <w:t>0.03%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；社会保障和就业支出 </w:t>
      </w:r>
      <w:r>
        <w:rPr>
          <w:rFonts w:ascii="JSDPEN+TimesNewRomanPSMT"/>
          <w:color w:val="000000"/>
          <w:spacing w:val="0"/>
          <w:sz w:val="32"/>
        </w:rPr>
        <w:t>3759.45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万元，占 </w:t>
      </w:r>
      <w:r>
        <w:rPr>
          <w:rFonts w:ascii="JSDPEN+TimesNewRomanPSMT"/>
          <w:color w:val="000000"/>
          <w:spacing w:val="0"/>
          <w:sz w:val="32"/>
        </w:rPr>
        <w:t>10.11%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；</w:t>
      </w:r>
    </w:p>
    <w:p w14:paraId="5C0C302C">
      <w:pPr>
        <w:framePr w:w="9919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卫生健康支出 </w:t>
      </w:r>
      <w:r>
        <w:rPr>
          <w:rFonts w:ascii="JSDPEN+TimesNewRomanPSMT"/>
          <w:color w:val="000000"/>
          <w:spacing w:val="0"/>
          <w:sz w:val="32"/>
        </w:rPr>
        <w:t>145.92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万元，占 </w:t>
      </w:r>
      <w:r>
        <w:rPr>
          <w:rFonts w:ascii="JSDPEN+TimesNewRomanPSMT"/>
          <w:color w:val="000000"/>
          <w:spacing w:val="0"/>
          <w:sz w:val="32"/>
        </w:rPr>
        <w:t>0.39%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；商业服务业等支出</w:t>
      </w:r>
    </w:p>
    <w:p w14:paraId="4CA61411">
      <w:pPr>
        <w:framePr w:w="9919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1144.56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万元，占</w:t>
      </w:r>
      <w:r>
        <w:rPr>
          <w:rFonts w:ascii="JSDPEN+TimesNewRomanPSMT"/>
          <w:color w:val="000000"/>
          <w:spacing w:val="0"/>
          <w:sz w:val="32"/>
        </w:rPr>
        <w:t>3.08%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；住房保障支出</w:t>
      </w:r>
      <w:r>
        <w:rPr>
          <w:rFonts w:ascii="JSDPEN+TimesNewRomanPSMT"/>
          <w:color w:val="000000"/>
          <w:spacing w:val="0"/>
          <w:sz w:val="32"/>
        </w:rPr>
        <w:t>1371.43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万元，占</w:t>
      </w:r>
      <w:r>
        <w:rPr>
          <w:rFonts w:ascii="JSDPEN+TimesNewRomanPSMT"/>
          <w:color w:val="000000"/>
          <w:spacing w:val="0"/>
          <w:sz w:val="32"/>
        </w:rPr>
        <w:t>3.69%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。</w:t>
      </w:r>
    </w:p>
    <w:p w14:paraId="2AB5D1C7">
      <w:pPr>
        <w:framePr w:w="9919" w:wrap="auto" w:vAnchor="margin" w:hAnchor="text" w:x="1800" w:y="335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具体安排情况如下：</w:t>
      </w:r>
    </w:p>
    <w:p w14:paraId="06454E50">
      <w:pPr>
        <w:framePr w:w="9552" w:wrap="auto" w:vAnchor="margin" w:hAnchor="text" w:x="1800" w:y="7413"/>
        <w:widowControl w:val="0"/>
        <w:autoSpaceDE w:val="0"/>
        <w:autoSpaceDN w:val="0"/>
        <w:spacing w:before="0" w:after="0" w:line="332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（一）基本支出：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年本部门基本支出预算数</w:t>
      </w:r>
    </w:p>
    <w:p w14:paraId="0DA249A7">
      <w:pPr>
        <w:framePr w:w="9552" w:wrap="auto" w:vAnchor="margin" w:hAnchor="text" w:x="1800" w:y="741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21036.94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万元，主要是为保障部门正常运转、完成日常工作</w:t>
      </w:r>
    </w:p>
    <w:p w14:paraId="36564A19">
      <w:pPr>
        <w:framePr w:w="9552" w:wrap="auto" w:vAnchor="margin" w:hAnchor="text" w:x="1800" w:y="741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任务而发生的各项支出，包括用于基本工资、津贴补贴等人</w:t>
      </w:r>
    </w:p>
    <w:p w14:paraId="31EB2B18">
      <w:pPr>
        <w:framePr w:w="9552" w:wrap="auto" w:vAnchor="margin" w:hAnchor="text" w:x="1800" w:y="741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员经费以及办公费、印刷费、水电费、办公设备购置等公用</w:t>
      </w:r>
    </w:p>
    <w:p w14:paraId="7E5D090E">
      <w:pPr>
        <w:framePr w:w="9552" w:wrap="auto" w:vAnchor="margin" w:hAnchor="text" w:x="1800" w:y="741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经费。</w:t>
      </w:r>
    </w:p>
    <w:p w14:paraId="0E8BE40F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332" w:lineRule="exact"/>
        <w:ind w:left="660" w:right="0"/>
        <w:jc w:val="left"/>
        <w:rPr>
          <w:rFonts w:ascii="JSDPEN+TimesNewRomanPSMT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（二）项目支出：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年本部门项目支出预算  </w:t>
      </w:r>
      <w:r>
        <w:rPr>
          <w:rFonts w:ascii="JSDPEN+TimesNewRomanPSMT"/>
          <w:color w:val="000000"/>
          <w:spacing w:val="0"/>
          <w:sz w:val="32"/>
        </w:rPr>
        <w:t xml:space="preserve"> 16135.17</w:t>
      </w:r>
    </w:p>
    <w:p w14:paraId="0A29C579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万元，主要是部门为完成特定行政工作任务或事业发展目标</w:t>
      </w:r>
    </w:p>
    <w:p w14:paraId="0BA9AD97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而发生的支出，包括有关事业发展专项、专项业务费、基本</w:t>
      </w:r>
    </w:p>
    <w:p w14:paraId="7F5DBB43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建设支出等，其中：业务工作经费 </w:t>
      </w:r>
      <w:r>
        <w:rPr>
          <w:rFonts w:ascii="JSDPEN+TimesNewRomanPSMT"/>
          <w:color w:val="000000"/>
          <w:spacing w:val="0"/>
          <w:sz w:val="32"/>
        </w:rPr>
        <w:t>5817.98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万元，主要用于</w:t>
      </w:r>
    </w:p>
    <w:p w14:paraId="179835E0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经贸活动的组织和商务业务工作的开展等方面；开放型经济</w:t>
      </w:r>
    </w:p>
    <w:p w14:paraId="7F380BD1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与流通产业发展专项 </w:t>
      </w:r>
      <w:r>
        <w:rPr>
          <w:rFonts w:ascii="JSDPEN+TimesNewRomanPSMT"/>
          <w:color w:val="000000"/>
          <w:spacing w:val="0"/>
          <w:sz w:val="32"/>
        </w:rPr>
        <w:t>5202.45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万元，主要用于外贸职院债务</w:t>
      </w:r>
    </w:p>
    <w:p w14:paraId="5D8B4AE4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化解、对非经贸常态化交流机制建设、内外贸电商融合、国</w:t>
      </w:r>
    </w:p>
    <w:p w14:paraId="1B5FF611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际物流通道建设等方面；教育发展有关专项 </w:t>
      </w:r>
      <w:r>
        <w:rPr>
          <w:rFonts w:ascii="JSDPEN+TimesNewRomanPSMT"/>
          <w:color w:val="000000"/>
          <w:spacing w:val="0"/>
          <w:sz w:val="32"/>
        </w:rPr>
        <w:t>1111.02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</w:t>
      </w:r>
    </w:p>
    <w:p w14:paraId="1E6B8362">
      <w:pPr>
        <w:framePr w:w="9551" w:wrap="auto" w:vAnchor="margin" w:hAnchor="text" w:x="1800" w:y="103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主要用于高校“双一流”建设、学生就业补助、科学普及等</w:t>
      </w:r>
    </w:p>
    <w:p w14:paraId="04CD6D3D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51CA20D9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1DDB7CC1">
      <w:pPr>
        <w:framePr w:w="9549" w:wrap="auto" w:vAnchor="margin" w:hAnchor="text" w:x="1800" w:y="1612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方面；运行维护经费 </w:t>
      </w:r>
      <w:r>
        <w:rPr>
          <w:rFonts w:ascii="JSDPEN+TimesNewRomanPSMT"/>
          <w:color w:val="000000"/>
          <w:spacing w:val="0"/>
          <w:sz w:val="32"/>
        </w:rPr>
        <w:t>501.11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万元，主要用于维持机关运转所</w:t>
      </w:r>
    </w:p>
    <w:p w14:paraId="03E0E921">
      <w:pPr>
        <w:framePr w:w="9549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需的资产购置、外贸职院债务化解等方面；其他事业类发展</w:t>
      </w:r>
    </w:p>
    <w:p w14:paraId="0E6DB639">
      <w:pPr>
        <w:framePr w:w="9549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资金 </w:t>
      </w:r>
      <w:r>
        <w:rPr>
          <w:rFonts w:ascii="JSDPEN+TimesNewRomanPSMT"/>
          <w:color w:val="000000"/>
          <w:spacing w:val="0"/>
          <w:sz w:val="32"/>
        </w:rPr>
        <w:t>3502.61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万元，主要用于中非经贸博览会、高校“双一</w:t>
      </w:r>
    </w:p>
    <w:p w14:paraId="5260EAA8">
      <w:pPr>
        <w:framePr w:w="9549" w:wrap="auto" w:vAnchor="margin" w:hAnchor="text" w:x="1800" w:y="161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流”建设、人才培养等方面。</w:t>
      </w:r>
    </w:p>
    <w:p w14:paraId="41200D58">
      <w:pPr>
        <w:framePr w:w="4046" w:wrap="auto" w:vAnchor="margin" w:hAnchor="text" w:x="2460" w:y="393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五、政府性基金预算支出</w:t>
      </w:r>
    </w:p>
    <w:p w14:paraId="2FDA7FDA">
      <w:pPr>
        <w:framePr w:w="5539" w:wrap="auto" w:vAnchor="margin" w:hAnchor="text" w:x="2460" w:y="451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本部门无政府性基金安排的支出。</w:t>
      </w:r>
    </w:p>
    <w:p w14:paraId="02E17D11">
      <w:pPr>
        <w:framePr w:w="4783" w:wrap="auto" w:vAnchor="margin" w:hAnchor="text" w:x="2460" w:y="509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六、其他重要事项的情况说明</w:t>
      </w:r>
    </w:p>
    <w:p w14:paraId="39881742">
      <w:pPr>
        <w:framePr w:w="9552" w:wrap="auto" w:vAnchor="margin" w:hAnchor="text" w:x="1800" w:y="5673"/>
        <w:widowControl w:val="0"/>
        <w:autoSpaceDE w:val="0"/>
        <w:autoSpaceDN w:val="0"/>
        <w:spacing w:before="0" w:after="0" w:line="332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（一）机关运行经费：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年本部门机关本级、湖南外</w:t>
      </w:r>
    </w:p>
    <w:p w14:paraId="3F79FFE7">
      <w:pPr>
        <w:framePr w:w="9552" w:wrap="auto" w:vAnchor="margin" w:hAnchor="text" w:x="1800" w:y="567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贸职业学院、湖南现代物流职业学院、湖南省商务服务中心</w:t>
      </w:r>
    </w:p>
    <w:p w14:paraId="110D2A2B">
      <w:pPr>
        <w:framePr w:w="9552" w:wrap="auto" w:vAnchor="margin" w:hAnchor="text" w:x="1800" w:y="567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等 </w:t>
      </w:r>
      <w:r>
        <w:rPr>
          <w:rFonts w:ascii="JSDPEN+TimesNewRomanPSMT"/>
          <w:color w:val="000000"/>
          <w:spacing w:val="0"/>
          <w:sz w:val="32"/>
        </w:rPr>
        <w:t>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家行政事业单位的机关运行经费  </w:t>
      </w:r>
      <w:r>
        <w:rPr>
          <w:rFonts w:ascii="JSDPEN+TimesNewRomanPSMT"/>
          <w:color w:val="000000"/>
          <w:spacing w:val="0"/>
          <w:sz w:val="32"/>
        </w:rPr>
        <w:t>2749.22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万元，比上年</w:t>
      </w:r>
    </w:p>
    <w:p w14:paraId="716E67E0">
      <w:pPr>
        <w:framePr w:w="9552" w:wrap="auto" w:vAnchor="margin" w:hAnchor="text" w:x="1800" w:y="567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预算增加 </w:t>
      </w:r>
      <w:r>
        <w:rPr>
          <w:rFonts w:ascii="JSDPEN+TimesNewRomanPSMT"/>
          <w:color w:val="000000"/>
          <w:spacing w:val="0"/>
          <w:sz w:val="32"/>
        </w:rPr>
        <w:t>668.59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万元，上升  </w:t>
      </w:r>
      <w:r>
        <w:rPr>
          <w:rFonts w:ascii="JSDPEN+TimesNewRomanPSMT"/>
          <w:color w:val="000000"/>
          <w:spacing w:val="0"/>
          <w:sz w:val="32"/>
        </w:rPr>
        <w:t>32.13%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，主要是由于经营类事</w:t>
      </w:r>
    </w:p>
    <w:p w14:paraId="38C9B15B">
      <w:pPr>
        <w:framePr w:w="9552" w:wrap="auto" w:vAnchor="margin" w:hAnchor="text" w:x="1800" w:y="567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业单位改革，原本由事业单位管理和开支的机关水电气、物</w:t>
      </w:r>
    </w:p>
    <w:p w14:paraId="507D22B5">
      <w:pPr>
        <w:framePr w:w="9552" w:wrap="auto" w:vAnchor="margin" w:hAnchor="text" w:x="1800" w:y="567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业管理费等经费转由厅本级安排支出；湖南现代物流职业学</w:t>
      </w:r>
    </w:p>
    <w:p w14:paraId="57D48B58">
      <w:pPr>
        <w:framePr w:w="9552" w:wrap="auto" w:vAnchor="margin" w:hAnchor="text" w:x="1800" w:y="567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院 </w:t>
      </w:r>
      <w:r>
        <w:rPr>
          <w:rFonts w:ascii="JSDPEN+TimesNewRomanPSMT"/>
          <w:color w:val="000000"/>
          <w:spacing w:val="0"/>
          <w:sz w:val="32"/>
        </w:rPr>
        <w:t>2021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年部分物业管理费从结余资金中列支，未编足物业</w:t>
      </w:r>
    </w:p>
    <w:p w14:paraId="3FE9129B">
      <w:pPr>
        <w:framePr w:w="9552" w:wrap="auto" w:vAnchor="margin" w:hAnchor="text" w:x="1800" w:y="567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管理费，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年据实编足物业管理费，导致机关运行经费较</w:t>
      </w:r>
    </w:p>
    <w:p w14:paraId="58B92C43">
      <w:pPr>
        <w:framePr w:w="9552" w:wrap="auto" w:vAnchor="margin" w:hAnchor="text" w:x="1800" w:y="567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上年明显增加。</w:t>
      </w:r>
    </w:p>
    <w:p w14:paraId="24F574A1">
      <w:pPr>
        <w:framePr w:w="9737" w:wrap="auto" w:vAnchor="margin" w:hAnchor="text" w:x="1800" w:y="10893"/>
        <w:widowControl w:val="0"/>
        <w:autoSpaceDE w:val="0"/>
        <w:autoSpaceDN w:val="0"/>
        <w:spacing w:before="0" w:after="0" w:line="332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（二）</w:t>
      </w:r>
      <w:r>
        <w:rPr>
          <w:rFonts w:ascii="ADCHES+TimesNewRomanPS-BoldMT" w:hAnsi="ADCHES+TimesNewRomanPS-BoldMT" w:cs="ADCHES+TimesNewRomanPS-BoldMT"/>
          <w:color w:val="000000"/>
          <w:spacing w:val="0"/>
          <w:sz w:val="32"/>
        </w:rPr>
        <w:t>“</w:t>
      </w:r>
      <w:r>
        <w:rPr>
          <w:rFonts w:ascii="FFDUFL+KaiTi_GB2312" w:hAnsi="FFDUFL+KaiTi_GB2312" w:cs="FFDUFL+KaiTi_GB2312"/>
          <w:color w:val="000000"/>
          <w:spacing w:val="0"/>
          <w:sz w:val="32"/>
        </w:rPr>
        <w:t>三公</w:t>
      </w:r>
      <w:r>
        <w:rPr>
          <w:rFonts w:ascii="ADCHES+TimesNewRomanPS-BoldMT" w:hAnsi="ADCHES+TimesNewRomanPS-BoldMT" w:cs="ADCHES+TimesNewRomanPS-BoldMT"/>
          <w:color w:val="000000"/>
          <w:spacing w:val="0"/>
          <w:sz w:val="32"/>
        </w:rPr>
        <w:t>”</w:t>
      </w:r>
      <w:r>
        <w:rPr>
          <w:rFonts w:ascii="FFDUFL+KaiTi_GB2312" w:hAnsi="FFDUFL+KaiTi_GB2312" w:cs="FFDUFL+KaiTi_GB2312"/>
          <w:color w:val="000000"/>
          <w:spacing w:val="0"/>
          <w:sz w:val="32"/>
        </w:rPr>
        <w:t>经费预算：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年本部门机关本级、湖南</w:t>
      </w:r>
    </w:p>
    <w:p w14:paraId="57994CB1">
      <w:pPr>
        <w:framePr w:w="9737" w:wrap="auto" w:vAnchor="margin" w:hAnchor="text" w:x="1800" w:y="1089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外贸职业学院、湖南现代物流职业学院、湖南省商务服务中</w:t>
      </w:r>
    </w:p>
    <w:p w14:paraId="2E40433B">
      <w:pPr>
        <w:framePr w:w="9737" w:wrap="auto" w:vAnchor="margin" w:hAnchor="text" w:x="1800" w:y="1089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心等 </w:t>
      </w:r>
      <w:r>
        <w:rPr>
          <w:rFonts w:ascii="JSDPEN+TimesNewRomanPSMT"/>
          <w:color w:val="000000"/>
          <w:spacing w:val="0"/>
          <w:sz w:val="32"/>
        </w:rPr>
        <w:t>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家行政事业单位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“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三公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”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经费预算数为  </w:t>
      </w:r>
      <w:r>
        <w:rPr>
          <w:rFonts w:ascii="JSDPEN+TimesNewRomanPSMT"/>
          <w:color w:val="000000"/>
          <w:spacing w:val="0"/>
          <w:sz w:val="32"/>
        </w:rPr>
        <w:t>693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万元，其中，</w:t>
      </w:r>
    </w:p>
    <w:p w14:paraId="715834F6">
      <w:pPr>
        <w:framePr w:w="9737" w:wrap="auto" w:vAnchor="margin" w:hAnchor="text" w:x="1800" w:y="1089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公务接待费 </w:t>
      </w:r>
      <w:r>
        <w:rPr>
          <w:rFonts w:ascii="JSDPEN+TimesNewRomanPSMT"/>
          <w:color w:val="000000"/>
          <w:spacing w:val="0"/>
          <w:sz w:val="32"/>
        </w:rPr>
        <w:t>138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万元，公务用车购置及运行费 </w:t>
      </w:r>
      <w:r>
        <w:rPr>
          <w:rFonts w:ascii="JSDPEN+TimesNewRomanPSMT"/>
          <w:color w:val="000000"/>
          <w:spacing w:val="0"/>
          <w:sz w:val="32"/>
        </w:rPr>
        <w:t>150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万元（其</w:t>
      </w:r>
    </w:p>
    <w:p w14:paraId="7B561E1A">
      <w:pPr>
        <w:framePr w:w="9737" w:wrap="auto" w:vAnchor="margin" w:hAnchor="text" w:x="1800" w:y="1089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中，公务用车购置费 </w:t>
      </w:r>
      <w:r>
        <w:rPr>
          <w:rFonts w:ascii="JSDPEN+TimesNewRomanPSMT"/>
          <w:color w:val="000000"/>
          <w:spacing w:val="0"/>
          <w:sz w:val="32"/>
        </w:rPr>
        <w:t>46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万元，公务用车运行费 </w:t>
      </w:r>
      <w:r>
        <w:rPr>
          <w:rFonts w:ascii="JSDPEN+TimesNewRomanPSMT"/>
          <w:color w:val="000000"/>
          <w:spacing w:val="0"/>
          <w:sz w:val="32"/>
        </w:rPr>
        <w:t>104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万元），</w:t>
      </w:r>
    </w:p>
    <w:p w14:paraId="1980530B">
      <w:pPr>
        <w:framePr w:w="9737" w:wrap="auto" w:vAnchor="margin" w:hAnchor="text" w:x="1800" w:y="1089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JSDPEN+TimesNewRomanPSMT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因公出国（境）费 </w:t>
      </w:r>
      <w:r>
        <w:rPr>
          <w:rFonts w:ascii="JSDPEN+TimesNewRomanPSMT"/>
          <w:color w:val="000000"/>
          <w:spacing w:val="0"/>
          <w:sz w:val="32"/>
        </w:rPr>
        <w:t>405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万元。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“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三公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”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经费预算较  </w:t>
      </w:r>
      <w:r>
        <w:rPr>
          <w:rFonts w:ascii="JSDPEN+TimesNewRomanPSMT"/>
          <w:color w:val="000000"/>
          <w:spacing w:val="0"/>
          <w:sz w:val="32"/>
        </w:rPr>
        <w:t xml:space="preserve"> 2021</w:t>
      </w:r>
    </w:p>
    <w:p w14:paraId="1C5173AA">
      <w:pPr>
        <w:framePr w:w="9737" w:wrap="auto" w:vAnchor="margin" w:hAnchor="text" w:x="1800" w:y="1089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年增加 </w:t>
      </w:r>
      <w:r>
        <w:rPr>
          <w:rFonts w:ascii="JSDPEN+TimesNewRomanPSMT"/>
          <w:color w:val="000000"/>
          <w:spacing w:val="0"/>
          <w:sz w:val="32"/>
        </w:rPr>
        <w:t>117.5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万元，主要是 </w:t>
      </w:r>
      <w:r>
        <w:rPr>
          <w:rFonts w:ascii="JSDPEN+TimesNewRomanPSMT"/>
          <w:color w:val="000000"/>
          <w:spacing w:val="0"/>
          <w:sz w:val="32"/>
        </w:rPr>
        <w:t>2021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年上级补助安排中非经贸博</w:t>
      </w:r>
    </w:p>
    <w:p w14:paraId="32E42EAE">
      <w:pPr>
        <w:framePr w:w="9737" w:wrap="auto" w:vAnchor="margin" w:hAnchor="text" w:x="1800" w:y="1089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览会活动经费 </w:t>
      </w:r>
      <w:r>
        <w:rPr>
          <w:rFonts w:ascii="JSDPEN+TimesNewRomanPSMT"/>
          <w:color w:val="000000"/>
          <w:spacing w:val="0"/>
          <w:sz w:val="32"/>
        </w:rPr>
        <w:t>2500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万元，其中编列的“三公”经费 </w:t>
      </w:r>
      <w:r>
        <w:rPr>
          <w:rFonts w:ascii="JSDPEN+TimesNewRomanPSMT"/>
          <w:color w:val="000000"/>
          <w:spacing w:val="0"/>
          <w:sz w:val="32"/>
        </w:rPr>
        <w:t>117.5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</w:t>
      </w:r>
    </w:p>
    <w:p w14:paraId="1573A9AB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5D4E459F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76D477AC">
      <w:pPr>
        <w:framePr w:w="9552" w:wrap="auto" w:vAnchor="margin" w:hAnchor="text" w:x="1800" w:y="1612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元未计入一般公共预算“三公”经费，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年无此项上级补</w:t>
      </w:r>
    </w:p>
    <w:p w14:paraId="4296655B">
      <w:pPr>
        <w:framePr w:w="9552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助收入，“三公”经费预算均为一般公共预算拨款安排，故</w:t>
      </w:r>
    </w:p>
    <w:p w14:paraId="57013041">
      <w:pPr>
        <w:framePr w:w="9552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纳入一般公共预算的“三公”经费预算较上年增加，而部门</w:t>
      </w:r>
    </w:p>
    <w:p w14:paraId="48EEB84F">
      <w:pPr>
        <w:framePr w:w="9552" w:wrap="auto" w:vAnchor="margin" w:hAnchor="text" w:x="1800" w:y="161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“三公”经费总额与去年保持一致。</w:t>
      </w:r>
    </w:p>
    <w:p w14:paraId="0F5697AF">
      <w:pPr>
        <w:framePr w:w="9737" w:wrap="auto" w:vAnchor="margin" w:hAnchor="text" w:x="1800" w:y="3933"/>
        <w:widowControl w:val="0"/>
        <w:autoSpaceDE w:val="0"/>
        <w:autoSpaceDN w:val="0"/>
        <w:spacing w:before="0" w:after="0" w:line="332" w:lineRule="exact"/>
        <w:ind w:left="660" w:right="0"/>
        <w:jc w:val="left"/>
        <w:rPr>
          <w:rFonts w:ascii="JSDPEN+TimesNewRomanPSMT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（三）一般性支出情况：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年本部门会议费预算  </w:t>
      </w:r>
      <w:r>
        <w:rPr>
          <w:rFonts w:ascii="JSDPEN+TimesNewRomanPSMT"/>
          <w:color w:val="000000"/>
          <w:spacing w:val="0"/>
          <w:sz w:val="32"/>
        </w:rPr>
        <w:t xml:space="preserve"> 47.44</w:t>
      </w:r>
    </w:p>
    <w:p w14:paraId="66DA1842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万元，拟召开全省商务工作会议、跨国公司座谈会以及外贸、</w:t>
      </w:r>
    </w:p>
    <w:p w14:paraId="410CE625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JSDPEN+TimesNewRomanPSMT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安全生产、海关特殊监管区、招商引资等工作会议，人数 </w:t>
      </w:r>
      <w:r>
        <w:rPr>
          <w:rFonts w:ascii="JSDPEN+TimesNewRomanPSMT"/>
          <w:color w:val="000000"/>
          <w:spacing w:val="0"/>
          <w:sz w:val="32"/>
        </w:rPr>
        <w:t xml:space="preserve"> 500</w:t>
      </w:r>
    </w:p>
    <w:p w14:paraId="75BD735F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人，主要为部署全省商务和开放型经济工作、推进外贸、招</w:t>
      </w:r>
    </w:p>
    <w:p w14:paraId="062449A9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商引资以及安全生产等工作；培训费预算 </w:t>
      </w:r>
      <w:r>
        <w:rPr>
          <w:rFonts w:ascii="JSDPEN+TimesNewRomanPSMT"/>
          <w:color w:val="000000"/>
          <w:spacing w:val="0"/>
          <w:sz w:val="32"/>
        </w:rPr>
        <w:t>139.93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万元，拟开</w:t>
      </w:r>
    </w:p>
    <w:p w14:paraId="10BDFECD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展领导干部素质提升、学习贯彻党的十九届六中全会精神等</w:t>
      </w:r>
    </w:p>
    <w:p w14:paraId="56898AFD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综合培训以及财务、外贸、服务贸易、招商引资、“走出去”、</w:t>
      </w:r>
    </w:p>
    <w:p w14:paraId="63DB1B0E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“单一窗口”等业务培训，人数  </w:t>
      </w:r>
      <w:r>
        <w:rPr>
          <w:rFonts w:ascii="JSDPEN+TimesNewRomanPSMT"/>
          <w:color w:val="000000"/>
          <w:spacing w:val="0"/>
          <w:sz w:val="32"/>
        </w:rPr>
        <w:t>1000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人，主要为提升领导</w:t>
      </w:r>
    </w:p>
    <w:p w14:paraId="62FCE44D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干部综合素质、学习贯彻党的</w:t>
      </w:r>
      <w:bookmarkStart w:id="0" w:name="_GoBack"/>
      <w:bookmarkEnd w:id="0"/>
      <w:r>
        <w:rPr>
          <w:rFonts w:ascii="FQNTKE+FangSong_GB2312" w:hAnsi="FQNTKE+FangSong_GB2312" w:cs="FQNTKE+FangSong_GB2312"/>
          <w:color w:val="000000"/>
          <w:spacing w:val="0"/>
          <w:sz w:val="32"/>
        </w:rPr>
        <w:t>十九届六中全会精神以及提升干部</w:t>
      </w:r>
    </w:p>
    <w:p w14:paraId="38C44936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职工业务水平；未计划举办节庆、晚会、论坛、赛事活动。</w:t>
      </w:r>
    </w:p>
    <w:p w14:paraId="1C5C1C2F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（四）政府采购情况：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年本部门政府采购预算总额</w:t>
      </w:r>
    </w:p>
    <w:p w14:paraId="662FD8DB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676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万元，其中，货物类采购预算  </w:t>
      </w:r>
      <w:r>
        <w:rPr>
          <w:rFonts w:ascii="JSDPEN+TimesNewRomanPSMT"/>
          <w:color w:val="000000"/>
          <w:spacing w:val="0"/>
          <w:sz w:val="32"/>
        </w:rPr>
        <w:t>46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万元；工程类采购预算</w:t>
      </w:r>
    </w:p>
    <w:p w14:paraId="70894EF1">
      <w:pPr>
        <w:framePr w:w="9737" w:wrap="auto" w:vAnchor="margin" w:hAnchor="text" w:x="1800" w:y="393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万元；服务类采购预算  </w:t>
      </w:r>
      <w:r>
        <w:rPr>
          <w:rFonts w:ascii="JSDPEN+TimesNewRomanPSMT"/>
          <w:color w:val="000000"/>
          <w:spacing w:val="0"/>
          <w:sz w:val="32"/>
        </w:rPr>
        <w:t>630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万元。</w:t>
      </w:r>
    </w:p>
    <w:p w14:paraId="550DAF04">
      <w:pPr>
        <w:framePr w:w="9734" w:wrap="auto" w:vAnchor="margin" w:hAnchor="text" w:x="1800" w:y="11474"/>
        <w:widowControl w:val="0"/>
        <w:autoSpaceDE w:val="0"/>
        <w:autoSpaceDN w:val="0"/>
        <w:spacing w:before="0" w:after="0" w:line="319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（五）国有资产占用使用及新增资产配置情况：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截至</w:t>
      </w:r>
    </w:p>
    <w:p w14:paraId="0608CBB4">
      <w:pPr>
        <w:framePr w:w="9734" w:wrap="auto" w:vAnchor="margin" w:hAnchor="text" w:x="1800" w:y="1147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2021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年  </w:t>
      </w:r>
      <w:r>
        <w:rPr>
          <w:rFonts w:ascii="JSDPEN+TimesNewRomanPSMT"/>
          <w:color w:val="000000"/>
          <w:spacing w:val="0"/>
          <w:sz w:val="32"/>
        </w:rPr>
        <w:t>12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月底，本部门共有公务用车 </w:t>
      </w:r>
      <w:r>
        <w:rPr>
          <w:rFonts w:ascii="JSDPEN+TimesNewRomanPSMT"/>
          <w:color w:val="000000"/>
          <w:spacing w:val="0"/>
          <w:sz w:val="32"/>
        </w:rPr>
        <w:t>25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辆，其中，机要通</w:t>
      </w:r>
    </w:p>
    <w:p w14:paraId="19FB52DC">
      <w:pPr>
        <w:framePr w:w="9734" w:wrap="auto" w:vAnchor="margin" w:hAnchor="text" w:x="1800" w:y="1147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信用车 </w:t>
      </w:r>
      <w:r>
        <w:rPr>
          <w:rFonts w:ascii="JSDPEN+TimesNewRomanPSMT"/>
          <w:color w:val="000000"/>
          <w:spacing w:val="0"/>
          <w:sz w:val="32"/>
        </w:rPr>
        <w:t>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辆，应急保障用车 </w:t>
      </w:r>
      <w:r>
        <w:rPr>
          <w:rFonts w:ascii="JSDPEN+TimesNewRomanPSMT"/>
          <w:color w:val="000000"/>
          <w:spacing w:val="0"/>
          <w:sz w:val="32"/>
        </w:rPr>
        <w:t>4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辆，执法执勤用车  </w:t>
      </w:r>
      <w:r>
        <w:rPr>
          <w:rFonts w:ascii="JSDPEN+TimesNewRomanPSMT"/>
          <w:color w:val="000000"/>
          <w:spacing w:val="0"/>
          <w:sz w:val="32"/>
        </w:rPr>
        <w:t>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辆，特种</w:t>
      </w:r>
    </w:p>
    <w:p w14:paraId="1F997698">
      <w:pPr>
        <w:framePr w:w="9734" w:wrap="auto" w:vAnchor="margin" w:hAnchor="text" w:x="1800" w:y="1147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专业技术用车 </w:t>
      </w:r>
      <w:r>
        <w:rPr>
          <w:rFonts w:ascii="JSDPEN+TimesNewRomanPSMT"/>
          <w:color w:val="000000"/>
          <w:spacing w:val="0"/>
          <w:sz w:val="32"/>
        </w:rPr>
        <w:t>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辆，其他按照规定配备的公务用车 </w:t>
      </w:r>
      <w:r>
        <w:rPr>
          <w:rFonts w:ascii="JSDPEN+TimesNewRomanPSMT"/>
          <w:color w:val="000000"/>
          <w:spacing w:val="0"/>
          <w:sz w:val="32"/>
        </w:rPr>
        <w:t>20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辆；</w:t>
      </w:r>
    </w:p>
    <w:p w14:paraId="16428AB0">
      <w:pPr>
        <w:framePr w:w="9734" w:wrap="auto" w:vAnchor="margin" w:hAnchor="text" w:x="1800" w:y="1147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单位价值 </w:t>
      </w:r>
      <w:r>
        <w:rPr>
          <w:rFonts w:ascii="JSDPEN+TimesNewRomanPSMT"/>
          <w:color w:val="000000"/>
          <w:spacing w:val="0"/>
          <w:sz w:val="32"/>
        </w:rPr>
        <w:t>50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万元以上通用设备 </w:t>
      </w:r>
      <w:r>
        <w:rPr>
          <w:rFonts w:ascii="JSDPEN+TimesNewRomanPSMT"/>
          <w:color w:val="000000"/>
          <w:spacing w:val="0"/>
          <w:sz w:val="32"/>
        </w:rPr>
        <w:t>41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台，单位价值  </w:t>
      </w:r>
      <w:r>
        <w:rPr>
          <w:rFonts w:ascii="JSDPEN+TimesNewRomanPSMT"/>
          <w:color w:val="000000"/>
          <w:spacing w:val="0"/>
          <w:sz w:val="32"/>
        </w:rPr>
        <w:t>100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万元以</w:t>
      </w:r>
    </w:p>
    <w:p w14:paraId="5868D96D">
      <w:pPr>
        <w:framePr w:w="9734" w:wrap="auto" w:vAnchor="margin" w:hAnchor="text" w:x="1800" w:y="1147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上专用设备 </w:t>
      </w:r>
      <w:r>
        <w:rPr>
          <w:rFonts w:ascii="JSDPEN+TimesNewRomanPSMT"/>
          <w:color w:val="000000"/>
          <w:spacing w:val="0"/>
          <w:sz w:val="32"/>
        </w:rPr>
        <w:t>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台。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年拟新增配置公务用车  </w:t>
      </w:r>
      <w:r>
        <w:rPr>
          <w:rFonts w:ascii="JSDPEN+TimesNewRomanPSMT"/>
          <w:color w:val="000000"/>
          <w:spacing w:val="0"/>
          <w:sz w:val="32"/>
        </w:rPr>
        <w:t>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辆，其中，</w:t>
      </w:r>
    </w:p>
    <w:p w14:paraId="508017FA">
      <w:pPr>
        <w:framePr w:w="9734" w:wrap="auto" w:vAnchor="margin" w:hAnchor="text" w:x="1800" w:y="1147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机要通信用车 </w:t>
      </w:r>
      <w:r>
        <w:rPr>
          <w:rFonts w:ascii="JSDPEN+TimesNewRomanPSMT"/>
          <w:color w:val="000000"/>
          <w:spacing w:val="0"/>
          <w:sz w:val="32"/>
        </w:rPr>
        <w:t>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辆，应急保障用车 </w:t>
      </w:r>
      <w:r>
        <w:rPr>
          <w:rFonts w:ascii="JSDPEN+TimesNewRomanPSMT"/>
          <w:color w:val="000000"/>
          <w:spacing w:val="0"/>
          <w:sz w:val="32"/>
        </w:rPr>
        <w:t>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辆，执法执勤用车  </w:t>
      </w:r>
      <w:r>
        <w:rPr>
          <w:rFonts w:ascii="JSDPEN+TimesNewRomanPSMT"/>
          <w:color w:val="000000"/>
          <w:spacing w:val="0"/>
          <w:sz w:val="32"/>
        </w:rPr>
        <w:t>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辆，</w:t>
      </w:r>
    </w:p>
    <w:p w14:paraId="3FEDEF71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133B9FA7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73866F64">
      <w:pPr>
        <w:framePr w:w="9734" w:wrap="auto" w:vAnchor="margin" w:hAnchor="text" w:x="1800" w:y="1612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特种专业技术用车 </w:t>
      </w:r>
      <w:r>
        <w:rPr>
          <w:rFonts w:ascii="JSDPEN+TimesNewRomanPSMT"/>
          <w:color w:val="000000"/>
          <w:spacing w:val="0"/>
          <w:sz w:val="32"/>
        </w:rPr>
        <w:t>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辆，其他按照规定配备的公务用车 </w:t>
      </w:r>
      <w:r>
        <w:rPr>
          <w:rFonts w:ascii="JSDPEN+TimesNewRomanPSMT"/>
          <w:color w:val="000000"/>
          <w:spacing w:val="0"/>
          <w:sz w:val="32"/>
        </w:rPr>
        <w:t>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辆；</w:t>
      </w:r>
    </w:p>
    <w:p w14:paraId="33DDB5E0">
      <w:pPr>
        <w:framePr w:w="9734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JSDPEN+TimesNewRomanPSMT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新增配备单位价值 </w:t>
      </w:r>
      <w:r>
        <w:rPr>
          <w:rFonts w:ascii="JSDPEN+TimesNewRomanPSMT"/>
          <w:color w:val="000000"/>
          <w:spacing w:val="0"/>
          <w:sz w:val="32"/>
        </w:rPr>
        <w:t>50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万元以上通用设备  </w:t>
      </w:r>
      <w:r>
        <w:rPr>
          <w:rFonts w:ascii="JSDPEN+TimesNewRomanPSMT"/>
          <w:color w:val="000000"/>
          <w:spacing w:val="0"/>
          <w:sz w:val="32"/>
        </w:rPr>
        <w:t>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台，单位价值 </w:t>
      </w:r>
      <w:r>
        <w:rPr>
          <w:rFonts w:ascii="JSDPEN+TimesNewRomanPSMT"/>
          <w:color w:val="000000"/>
          <w:spacing w:val="0"/>
          <w:sz w:val="32"/>
        </w:rPr>
        <w:t xml:space="preserve"> 100</w:t>
      </w:r>
    </w:p>
    <w:p w14:paraId="7C28EE67">
      <w:pPr>
        <w:framePr w:w="9734" w:wrap="auto" w:vAnchor="margin" w:hAnchor="text" w:x="1800" w:y="161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万元以上专用设备 </w:t>
      </w:r>
      <w:r>
        <w:rPr>
          <w:rFonts w:ascii="JSDPEN+TimesNewRomanPSMT"/>
          <w:color w:val="000000"/>
          <w:spacing w:val="0"/>
          <w:sz w:val="32"/>
        </w:rPr>
        <w:t>0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台。</w:t>
      </w:r>
    </w:p>
    <w:p w14:paraId="3BB2349E">
      <w:pPr>
        <w:framePr w:w="9552" w:wrap="auto" w:vAnchor="margin" w:hAnchor="text" w:x="1800" w:y="3352"/>
        <w:widowControl w:val="0"/>
        <w:autoSpaceDE w:val="0"/>
        <w:autoSpaceDN w:val="0"/>
        <w:spacing w:before="0" w:after="0" w:line="319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FDUFL+KaiTi_GB2312" w:hAnsi="FFDUFL+KaiTi_GB2312" w:cs="FFDUFL+KaiTi_GB2312"/>
          <w:color w:val="000000"/>
          <w:spacing w:val="0"/>
          <w:sz w:val="32"/>
        </w:rPr>
        <w:t>（六）预算绩效目标说明：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本部门所有支出实行绩效目</w:t>
      </w:r>
    </w:p>
    <w:p w14:paraId="5BD6ECC2">
      <w:pPr>
        <w:framePr w:w="9552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标管理。纳入 </w:t>
      </w:r>
      <w:r>
        <w:rPr>
          <w:rFonts w:ascii="JSDPEN+TimesNewRomanPSMT"/>
          <w:color w:val="000000"/>
          <w:spacing w:val="0"/>
          <w:sz w:val="32"/>
        </w:rPr>
        <w:t>2022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年部门整体支出绩效目标的金额为</w:t>
      </w:r>
    </w:p>
    <w:p w14:paraId="1DAEC701">
      <w:pPr>
        <w:framePr w:w="9552" w:wrap="auto" w:vAnchor="margin" w:hAnchor="text" w:x="1800" w:y="3352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46797.72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 xml:space="preserve">万元，其中，基本支出  </w:t>
      </w:r>
      <w:r>
        <w:rPr>
          <w:rFonts w:ascii="JSDPEN+TimesNewRomanPSMT"/>
          <w:color w:val="000000"/>
          <w:spacing w:val="0"/>
          <w:sz w:val="32"/>
        </w:rPr>
        <w:t>28812.69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万元，项目支出</w:t>
      </w:r>
    </w:p>
    <w:p w14:paraId="5B2C821B">
      <w:pPr>
        <w:framePr w:w="9552" w:wrap="auto" w:vAnchor="margin" w:hAnchor="text" w:x="1800" w:y="3352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17985.03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万元，具体绩效目标详见报表。</w:t>
      </w:r>
    </w:p>
    <w:p w14:paraId="3E18D948">
      <w:pPr>
        <w:framePr w:w="2400" w:wrap="auto" w:vAnchor="margin" w:hAnchor="text" w:x="2460" w:y="567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七、名词解释</w:t>
      </w:r>
    </w:p>
    <w:p w14:paraId="2FACB3EE">
      <w:pPr>
        <w:framePr w:w="9734" w:wrap="auto" w:vAnchor="margin" w:hAnchor="text" w:x="1800" w:y="6254"/>
        <w:widowControl w:val="0"/>
        <w:autoSpaceDE w:val="0"/>
        <w:autoSpaceDN w:val="0"/>
        <w:spacing w:before="0" w:after="0" w:line="332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1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、机关运行经费：是指各部门的公用经费，包括办公</w:t>
      </w:r>
    </w:p>
    <w:p w14:paraId="18D28695">
      <w:pPr>
        <w:framePr w:w="9734" w:wrap="auto" w:vAnchor="margin" w:hAnchor="text" w:x="1800" w:y="625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及印刷费、邮电费、差旅费、会议费、福利费、日常维修费、</w:t>
      </w:r>
    </w:p>
    <w:p w14:paraId="292A3FFA">
      <w:pPr>
        <w:framePr w:w="9734" w:wrap="auto" w:vAnchor="margin" w:hAnchor="text" w:x="1800" w:y="625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专用资料及一般设备购置费、办公用房水电费、办公用房取</w:t>
      </w:r>
    </w:p>
    <w:p w14:paraId="58DF7797">
      <w:pPr>
        <w:framePr w:w="9734" w:wrap="auto" w:vAnchor="margin" w:hAnchor="text" w:x="1800" w:y="6254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暖费、办公用房物业管理费、公务用车运行维护费以及其他</w:t>
      </w:r>
    </w:p>
    <w:p w14:paraId="5F07476B">
      <w:pPr>
        <w:framePr w:w="9734" w:wrap="auto" w:vAnchor="margin" w:hAnchor="text" w:x="1800" w:y="6254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费用。</w:t>
      </w:r>
    </w:p>
    <w:p w14:paraId="30E3A8C9">
      <w:pPr>
        <w:framePr w:w="9734" w:wrap="auto" w:vAnchor="margin" w:hAnchor="text" w:x="1800" w:y="9153"/>
        <w:widowControl w:val="0"/>
        <w:autoSpaceDE w:val="0"/>
        <w:autoSpaceDN w:val="0"/>
        <w:spacing w:before="0" w:after="0" w:line="332" w:lineRule="exact"/>
        <w:ind w:left="66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/>
          <w:color w:val="000000"/>
          <w:spacing w:val="0"/>
          <w:sz w:val="32"/>
        </w:rPr>
        <w:t>2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、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“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三公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”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经费：纳入省（市</w:t>
      </w:r>
      <w:r>
        <w:rPr>
          <w:rFonts w:ascii="JSDPEN+TimesNewRomanPSMT"/>
          <w:color w:val="000000"/>
          <w:spacing w:val="0"/>
          <w:sz w:val="32"/>
        </w:rPr>
        <w:t>/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县）财政预算管理的</w:t>
      </w: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“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三公</w:t>
      </w:r>
    </w:p>
    <w:p w14:paraId="7AC517A5">
      <w:pPr>
        <w:framePr w:w="9734" w:wrap="auto" w:vAnchor="margin" w:hAnchor="text" w:x="1800" w:y="915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JSDPEN+TimesNewRomanPSMT" w:hAnsi="JSDPEN+TimesNewRomanPSMT" w:cs="JSDPEN+TimesNewRomanPSMT"/>
          <w:color w:val="000000"/>
          <w:spacing w:val="0"/>
          <w:sz w:val="32"/>
        </w:rPr>
        <w:t>“</w:t>
      </w:r>
      <w:r>
        <w:rPr>
          <w:rFonts w:ascii="FQNTKE+FangSong_GB2312" w:hAnsi="FQNTKE+FangSong_GB2312" w:cs="FQNTKE+FangSong_GB2312"/>
          <w:color w:val="000000"/>
          <w:spacing w:val="0"/>
          <w:sz w:val="32"/>
        </w:rPr>
        <w:t>经费，是指用一般公共预算拨款安排的公务接待费、公务用</w:t>
      </w:r>
    </w:p>
    <w:p w14:paraId="5966C5DB">
      <w:pPr>
        <w:framePr w:w="9734" w:wrap="auto" w:vAnchor="margin" w:hAnchor="text" w:x="1800" w:y="915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车购置及运行维护费和因公出国（境）费。其中，公务接待</w:t>
      </w:r>
    </w:p>
    <w:p w14:paraId="0A46CC4E">
      <w:pPr>
        <w:framePr w:w="9734" w:wrap="auto" w:vAnchor="margin" w:hAnchor="text" w:x="1800" w:y="915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费反映单位按规定开支的各类公务接待支出；公务用车购置</w:t>
      </w:r>
    </w:p>
    <w:p w14:paraId="2B02049C">
      <w:pPr>
        <w:framePr w:w="9734" w:wrap="auto" w:vAnchor="margin" w:hAnchor="text" w:x="1800" w:y="915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及运行费反映单位公务用车车辆购置支出（含车辆购置税），</w:t>
      </w:r>
    </w:p>
    <w:p w14:paraId="3B2D7CD8">
      <w:pPr>
        <w:framePr w:w="9734" w:wrap="auto" w:vAnchor="margin" w:hAnchor="text" w:x="1800" w:y="9153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以及燃料费、维修费、保险费等支出；因公出国（境）费反</w:t>
      </w:r>
    </w:p>
    <w:p w14:paraId="46C1D490">
      <w:pPr>
        <w:framePr w:w="9734" w:wrap="auto" w:vAnchor="margin" w:hAnchor="text" w:x="1800" w:y="915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映单位公务出国（境）的国际旅费、国外城市间交通费、住</w:t>
      </w:r>
    </w:p>
    <w:p w14:paraId="01D908CB">
      <w:pPr>
        <w:framePr w:w="9734" w:wrap="auto" w:vAnchor="margin" w:hAnchor="text" w:x="1800" w:y="9153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FQNTKE+FangSong_GB2312" w:hAnsi="FQNTKE+FangSong_GB2312" w:cs="FQNTKE+FangSong_GB2312"/>
          <w:color w:val="000000"/>
          <w:spacing w:val="0"/>
          <w:sz w:val="32"/>
        </w:rPr>
      </w:pPr>
      <w:r>
        <w:rPr>
          <w:rFonts w:ascii="FQNTKE+FangSong_GB2312" w:hAnsi="FQNTKE+FangSong_GB2312" w:cs="FQNTKE+FangSong_GB2312"/>
          <w:color w:val="000000"/>
          <w:spacing w:val="0"/>
          <w:sz w:val="32"/>
        </w:rPr>
        <w:t>宿费、伙食费、培训费、公杂费等等支出。</w:t>
      </w:r>
    </w:p>
    <w:p w14:paraId="0A89A41E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3BB9377B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14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t xml:space="preserve"> </w:t>
      </w:r>
    </w:p>
    <w:p w14:paraId="6B4FC4EF">
      <w:pPr>
        <w:framePr w:w="5280" w:wrap="auto" w:vAnchor="margin" w:hAnchor="text" w:x="3658" w:y="2159"/>
        <w:widowControl w:val="0"/>
        <w:autoSpaceDE w:val="0"/>
        <w:autoSpaceDN w:val="0"/>
        <w:spacing w:before="0" w:after="0" w:line="429" w:lineRule="exact"/>
        <w:ind w:left="0" w:right="0"/>
        <w:jc w:val="left"/>
        <w:rPr>
          <w:rFonts w:ascii="VMEEMJ+FZXBSJW--GB1-0" w:hAnsi="VMEEMJ+FZXBSJW--GB1-0" w:cs="VMEEMJ+FZXBSJW--GB1-0"/>
          <w:color w:val="000000"/>
          <w:spacing w:val="0"/>
          <w:sz w:val="36"/>
        </w:rPr>
      </w:pPr>
      <w:r>
        <w:rPr>
          <w:rFonts w:ascii="VMEEMJ+FZXBSJW--GB1-0" w:hAnsi="VMEEMJ+FZXBSJW--GB1-0" w:cs="VMEEMJ+FZXBSJW--GB1-0"/>
          <w:color w:val="000000"/>
          <w:spacing w:val="0"/>
          <w:sz w:val="36"/>
        </w:rPr>
        <w:t>第二部分2022年部门预算表</w:t>
      </w:r>
    </w:p>
    <w:p w14:paraId="75976530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p w14:paraId="4A9882FC"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05BCC39-7D5F-47D5-9182-844EE6A799F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F2ABC5D-E92E-4C76-BFBA-88F8D7725E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040344F-FD66-426A-B589-41DB709CDD3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698E690-52C0-4C05-87BB-F8FD3659B4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14EDAAF-4A2E-4738-A5AB-0C67A9AA697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45BC9CEE-D4F2-471F-A99C-7615E71EA0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BC5EDE1-173E-4492-B3E7-50C642B4781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181C4F02-5AA6-4235-8B46-BAEBDF718F87}"/>
  </w:font>
  <w:font w:name="VMEEMJ+FZXBSJW--GB1-0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6BD2AA8A-3FB6-4B3F-805A-A54003341399}"/>
  </w:font>
  <w:font w:name="FQNTKE+FangSong_GB2312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7E0AA3A8-2767-4A2A-BBC1-1336F2B1374C}"/>
  </w:font>
  <w:font w:name="ADCHES+TimesNewRomanPS-Bold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1175C851-8878-4A30-AF9A-586D682292D2}"/>
  </w:font>
  <w:font w:name="JSDPEN+TimesNewRomanPS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2" w:fontKey="{40257D6B-E168-40A7-87B9-FA010AA0A7C1}"/>
  </w:font>
  <w:font w:name="FFDUFL+KaiTi_GB2312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3" w:fontKey="{A080EE50-D9B1-496A-A5DC-D2CC0D6C2F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38E7592"/>
    <w:rsid w:val="6318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12</Pages>
  <Words>2001</Words>
  <Characters>2032</Characters>
  <Lines>245</Lines>
  <Paragraphs>245</Paragraphs>
  <TotalTime>0</TotalTime>
  <ScaleCrop>false</ScaleCrop>
  <LinksUpToDate>false</LinksUpToDate>
  <CharactersWithSpaces>2041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2022-02-28T09:51:00Z</dcterms:created>
  <dc:creator>SYSTEM</dc:creator>
  <cp:lastModifiedBy>胡幸子</cp:lastModifiedBy>
  <dcterms:modified xsi:type="dcterms:W3CDTF">2025-07-09T09:45:00Z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D7647575C3FA40E88CF9C3567AF0CE84</vt:lpwstr>
  </property>
  <property fmtid="{D5CDD505-2E9C-101B-9397-08002B2CF9AE}" pid="4" name="KSOTemplateDocerSaveRecord">
    <vt:lpwstr>eyJoZGlkIjoiNmIwNDdmZDBkOWQxODg5NTBiOTU4ZmUzZTE0NzU2OTIiLCJ1c2VySWQiOiIyOTk4NzQ3MjMifQ==</vt:lpwstr>
  </property>
</Properties>
</file>