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Times New Roman" w:hAnsi="Times New Roman" w:cs="Times New Roman"/>
          <w:sz w:val="56"/>
          <w:szCs w:val="56"/>
        </w:rPr>
      </w:pPr>
    </w:p>
    <w:p>
      <w:pPr>
        <w:pStyle w:val="16"/>
        <w:jc w:val="center"/>
        <w:rPr>
          <w:rFonts w:ascii="Times New Roman" w:hAnsi="Times New Roman" w:cs="Times New Roman"/>
          <w:sz w:val="84"/>
          <w:szCs w:val="84"/>
        </w:rPr>
      </w:pPr>
    </w:p>
    <w:p>
      <w:pPr>
        <w:pStyle w:val="16"/>
        <w:jc w:val="center"/>
        <w:rPr>
          <w:rFonts w:ascii="Times New Roman" w:hAnsi="Times New Roman" w:cs="Times New Roman"/>
          <w:sz w:val="84"/>
          <w:szCs w:val="84"/>
        </w:rPr>
      </w:pPr>
    </w:p>
    <w:p>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湖南省商务厅</w:t>
      </w:r>
      <w:r>
        <w:rPr>
          <w:rFonts w:ascii="Times New Roman" w:hAnsi="Times New Roman" w:eastAsia="方正小标宋简体" w:cs="Times New Roman"/>
          <w:sz w:val="72"/>
          <w:szCs w:val="72"/>
        </w:rPr>
        <w:t>部门决算</w:t>
      </w:r>
    </w:p>
    <w:p>
      <w:pPr>
        <w:pStyle w:val="16"/>
        <w:jc w:val="center"/>
        <w:rPr>
          <w:rFonts w:ascii="Times New Roman" w:hAnsi="Times New Roman" w:eastAsia="方正小标宋_GBK" w:cs="Times New Roman"/>
          <w:sz w:val="56"/>
          <w:szCs w:val="56"/>
        </w:rPr>
      </w:pPr>
    </w:p>
    <w:p>
      <w:pPr>
        <w:pStyle w:val="16"/>
        <w:jc w:val="center"/>
        <w:rPr>
          <w:rFonts w:ascii="Times New Roman" w:hAnsi="Times New Roman" w:cs="Times New Roman"/>
          <w:sz w:val="56"/>
          <w:szCs w:val="56"/>
        </w:rPr>
      </w:pPr>
    </w:p>
    <w:p>
      <w:pPr>
        <w:pStyle w:val="16"/>
        <w:rPr>
          <w:rFonts w:ascii="Times New Roman" w:hAnsi="Times New Roman" w:cs="Times New Roman"/>
          <w:sz w:val="56"/>
          <w:szCs w:val="56"/>
        </w:rPr>
      </w:pPr>
    </w:p>
    <w:p>
      <w:pPr>
        <w:pStyle w:val="16"/>
        <w:jc w:val="center"/>
        <w:rPr>
          <w:rFonts w:ascii="Times New Roman" w:hAnsi="Times New Roman" w:cs="Times New Roman"/>
          <w:sz w:val="32"/>
          <w:szCs w:val="32"/>
        </w:rPr>
      </w:pPr>
    </w:p>
    <w:p>
      <w:pPr>
        <w:pStyle w:val="16"/>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6"/>
        <w:spacing w:line="600" w:lineRule="exact"/>
        <w:jc w:val="both"/>
        <w:rPr>
          <w:rFonts w:ascii="Times New Roman" w:hAnsi="Times New Roman" w:cs="Times New Roman"/>
          <w:b/>
          <w:sz w:val="36"/>
          <w:szCs w:val="28"/>
        </w:rPr>
      </w:pPr>
    </w:p>
    <w:p>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6"/>
        <w:spacing w:line="600" w:lineRule="exact"/>
        <w:jc w:val="center"/>
        <w:rPr>
          <w:rFonts w:ascii="Times New Roman" w:hAnsi="Times New Roman" w:cs="Times New Roman"/>
          <w:b/>
          <w:sz w:val="36"/>
          <w:szCs w:val="28"/>
        </w:rPr>
      </w:pPr>
    </w:p>
    <w:p>
      <w:pPr>
        <w:pStyle w:val="16"/>
        <w:spacing w:after="156" w:afterLines="50" w:line="600" w:lineRule="exact"/>
        <w:outlineLvl w:val="0"/>
        <w:rPr>
          <w:rFonts w:ascii="Times New Roman" w:hAnsi="Times New Roman" w:cs="Times New Roman"/>
          <w:bCs/>
          <w:sz w:val="32"/>
          <w:szCs w:val="32"/>
        </w:rPr>
      </w:pPr>
      <w:r>
        <w:rPr>
          <w:rFonts w:ascii="Times New Roman" w:hAnsi="Times New Roman" w:cs="Times New Roman"/>
          <w:bCs/>
          <w:sz w:val="32"/>
          <w:szCs w:val="32"/>
        </w:rPr>
        <w:t>第一部分 部门概况</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6"/>
        <w:spacing w:before="156" w:beforeLines="50" w:after="156" w:afterLines="50" w:line="600" w:lineRule="exact"/>
        <w:outlineLvl w:val="0"/>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6"/>
        <w:spacing w:before="156" w:beforeLines="50" w:after="156" w:afterLines="50" w:line="600" w:lineRule="exact"/>
        <w:outlineLvl w:val="0"/>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6"/>
        <w:spacing w:line="600" w:lineRule="exact"/>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outlineLvl w:val="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6"/>
        <w:spacing w:line="600" w:lineRule="exact"/>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6"/>
        <w:spacing w:line="600" w:lineRule="exact"/>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6"/>
        <w:spacing w:before="156" w:beforeLines="50" w:after="156" w:afterLines="50" w:line="600" w:lineRule="exact"/>
        <w:outlineLvl w:val="0"/>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6"/>
        <w:spacing w:before="156" w:beforeLines="50" w:after="156" w:afterLines="50" w:line="600" w:lineRule="exact"/>
        <w:outlineLvl w:val="0"/>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6"/>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6"/>
        <w:spacing w:line="360" w:lineRule="auto"/>
        <w:jc w:val="center"/>
        <w:outlineLvl w:val="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6"/>
        <w:spacing w:line="360" w:lineRule="auto"/>
        <w:jc w:val="center"/>
        <w:outlineLvl w:val="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部门概况</w:t>
      </w:r>
    </w:p>
    <w:p>
      <w:pPr>
        <w:pStyle w:val="5"/>
        <w:ind w:left="0" w:leftChars="0" w:firstLine="0" w:firstLineChars="0"/>
        <w:rPr>
          <w:rFonts w:ascii="Times New Roman" w:hAnsi="Times New Roman" w:cs="Times New Roman"/>
        </w:rPr>
      </w:pPr>
    </w:p>
    <w:p>
      <w:pPr>
        <w:pStyle w:val="17"/>
        <w:spacing w:line="600" w:lineRule="exact"/>
        <w:ind w:firstLine="0" w:firstLineChars="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国家国内外贸易、国际经济合作和区域经济合作的发展战略、政策，起草我省国内外贸易、招商引资、承接产业转移、对外援助、对外投资和对外经济合作的地方性法规及规章草案、政策措施和实施办法，研究经济全球化、区域经济合作、现代流通方式的发展趋势和流通体制改革并提出建议。</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负责推进流通产业结构调整，指导流通企业改革，促进商贸服务业和社区商业发展，提出促进商贸中小企业发展的政策建议，推动流通标准化和连锁经营、商业特许经营、物流配送、电子商务等现代流通方式的发展。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拟订全省国内贸易发展规划，促进城乡市场发展，研究提出引导国内外资金投向市场体系建设的政策建议，指导大宗产品批发市场规划和城市商业网点规划、商业体系建设工作，推进农村市场体系建设，组织实施农村现代流通网络工程。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承担牵头协调整顿和规范市场经济秩序工作的责任，拟订规范市场秩序的政策；协调全省消除地区封锁、打破行业垄断的有关工作，规范商贸企业交易行为；推动商务领域信用建设，指导商业信用销售，建立市场诚信公共服务平台；按有关规定对特殊流通行业进行监督管理。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7.贯彻执行国家对外技术贸易、出口管制以及鼓励技术和成套设备进出口的贸易政策，推进进出口贸易标准化工作；依法监督技术引进、设备进口、国家限制出口技术的工作。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8.牵头拟订服务贸易发展规划并开展相关工作；会同有关部门制定促进服务出口、服务外包的规划、政策并组织实施，推动服务外包平台建设。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9.贯彻执行我国多双边(含区域、自由贸易区)经贸合作战略和政策，推进我省与其他国家(地区)的经贸往来与投资贸易合作；牵头承担全省商务领域涉及世界贸易组织事务的相关工作，负责对外经济贸易协调工作。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负责组织协调反倾销、反补贴、保障措施及其他与进出口公平贸易相关的工作，协助开展对外贸易调查和产业损害调查，指导协调产业安全应对工作；协助对经营者集中行为进行反垄断审查，指导企业在国外的反垄断应诉工作。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宏观指导全省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省外商投资企业审批工作，规范招商引资活动；指导国家级、省级经济技术开发区的有关工作。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拟订并组织实施对外经济合作政策；依法管理和监督对外承包工程、对外劳务合作等；拟订省内人员出境就业管理政策并组织实施，负责牵头外派劳务和境外就业人员的权益保护工作；拟订境外投资的管理办法和具体政策，依法核准省内企业对外投资开办企业(金融企业除外)。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13.贯彻执行国家对外援助政策和方案，协调管理全省承担的对外援助项目；协调管理多双边对我省的无偿援助和赠款(不含财政合作项下外国政府及国际金融组织的赠款)等发展合作业务。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14.贯彻执行国家对香港、澳门特别行政区和台湾地区的经贸规划、政策，指导我省对港、澳、台地区贸易和经贸合作活动，协调港、澳、台商投资管理工作。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15.负责全省对外开放口岸的规划、申报及有关审批工作；协调管理全省口岸工作，推动建立大通关机制。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16.承担会展业促进与管理有关工作，按照有关规定实施在湖南境内举办对外经济技术展览会的许可工作。　</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17.承担全省商务系统统计及其信息发布工作，提供信息咨询服务，指导全省流通领域信息网络和电子商务建设。　</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18.承办省人民政府交办的其他事项。</w:t>
      </w:r>
    </w:p>
    <w:p>
      <w:pPr>
        <w:widowControl/>
        <w:spacing w:line="600" w:lineRule="exact"/>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内设机构设置。我厅内设27个处室和2个中心，具体是办公室、人事处、综合调研处、法规处（行政审批处）、财务处、市场运行和消费促进处、市场体系建设处、流通业发展处、会展业发展处、电子商务处、服务贸易和商贸服务业处、对外贸易处、加工贸易处、投资促进处、投资管理处、园区开放发展处、自贸区综合协调处、自贸区制度创新处、自贸区评估指导处、对外投资和经济合作处、中国-非洲经贸博览会秘书处、地区合作一处、地区合作二处、口岸国际物流发展处、口岸处、机关党委（机关纪委）、离退休人员管理服务处，以及机关后勤服务中心、信息中心。</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（二）决算单位构成。按照决算管理有关规定，我厅202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年部门决算汇总公开单位构成包括：湖南省商务厅本级、湖南省商务服务中心。</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both"/>
        <w:rPr>
          <w:rFonts w:ascii="Times New Roman" w:hAnsi="Times New Roman" w:eastAsia="黑体" w:cs="Times New Roman"/>
          <w:sz w:val="28"/>
          <w:szCs w:val="28"/>
        </w:rPr>
      </w:pPr>
    </w:p>
    <w:p>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6"/>
        <w:jc w:val="center"/>
        <w:outlineLvl w:val="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outlineLvl w:val="0"/>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湖南省商务厅</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1"/>
        <w:tblW w:w="140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4"/>
        <w:gridCol w:w="843"/>
        <w:gridCol w:w="1403"/>
        <w:gridCol w:w="4690"/>
        <w:gridCol w:w="878"/>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blHeader/>
        </w:trPr>
        <w:tc>
          <w:tcPr>
            <w:tcW w:w="7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收入</w:t>
            </w:r>
          </w:p>
        </w:tc>
        <w:tc>
          <w:tcPr>
            <w:tcW w:w="70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rFonts w:hint="default" w:hAnsi="Times New Roman"/>
                <w:b/>
                <w:bCs/>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23,376.26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7,588.76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rFonts w:hAnsi="Times New Roman"/>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23,387.18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rFonts w:hAnsi="Times New Roman"/>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22,308.72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5,883.13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2"/>
                <w:rFonts w:hint="default" w:hAnsi="Times New Roman"/>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rFonts w:hAnsi="Times New Roman"/>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29,270.30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rFonts w:hAnsi="Times New Roman"/>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29,270.30</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黑体" w:cs="Times New Roman"/>
          <w:color w:val="000000"/>
          <w:kern w:val="0"/>
          <w:sz w:val="32"/>
          <w:szCs w:val="32"/>
        </w:rPr>
      </w:pPr>
      <w:r>
        <w:br w:type="page"/>
      </w:r>
    </w:p>
    <w:p>
      <w:pPr>
        <w:widowControl/>
        <w:spacing w:after="156" w:afterLines="50"/>
        <w:jc w:val="center"/>
        <w:textAlignment w:val="center"/>
        <w:outlineLvl w:val="0"/>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湖南省商务厅</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1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3787"/>
        <w:gridCol w:w="1573"/>
        <w:gridCol w:w="1682"/>
        <w:gridCol w:w="1263"/>
        <w:gridCol w:w="1244"/>
        <w:gridCol w:w="1144"/>
        <w:gridCol w:w="117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项目</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本年收入合计</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财政拨款收入</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上级补助收入</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事业收入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经营收入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附属单位上缴收入</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科目代码</w:t>
            </w:r>
          </w:p>
        </w:tc>
        <w:tc>
          <w:tcPr>
            <w:tcW w:w="3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4"/>
                <w:rFonts w:hint="default" w:hAnsi="Times New Roman"/>
                <w:b/>
                <w:bCs/>
                <w:lang w:val="en-US" w:eastAsia="zh-CN" w:bidi="ar"/>
              </w:rPr>
              <w:t>科目名称</w:t>
            </w: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栏次</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b/>
                <w:bCs/>
                <w:lang w:val="en-US" w:eastAsia="zh-CN" w:bidi="ar"/>
              </w:rPr>
              <w:t>合计</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23,387.18</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23,376.26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2011301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行政运行</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6,020.65</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6,020.65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2011308</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招商引资</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481.06</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481.06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2011399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其他商贸事务支出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3,536.34</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3,529.65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培训支出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89.06</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行政单位离退休</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事业单位离退休</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机关事业单位基本养老保险缴费支出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512.50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512.50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机关事业单位职业年金缴费支出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行政单位医疗</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事业单位医疗</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2101103</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公务员医疗补助</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2119999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其他节能环保支出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2160299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其他商业流通事务支出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2160699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其他涉外发展服务支出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7,662.35</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7,662.35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2169999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其他商业服务业等支出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4"/>
                <w:rFonts w:hint="default" w:hAnsi="Times New Roman"/>
                <w:lang w:val="en-US" w:eastAsia="zh-CN" w:bidi="ar"/>
              </w:rPr>
              <w:t>住房公积金</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494.00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br w:type="page"/>
      </w:r>
    </w:p>
    <w:p>
      <w:pPr>
        <w:widowControl/>
        <w:spacing w:after="156" w:afterLines="50"/>
        <w:jc w:val="center"/>
        <w:textAlignment w:val="center"/>
        <w:outlineLvl w:val="0"/>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湖南省商务厅</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44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1"/>
        <w:gridCol w:w="3800"/>
        <w:gridCol w:w="1550"/>
        <w:gridCol w:w="1551"/>
        <w:gridCol w:w="1685"/>
        <w:gridCol w:w="1623"/>
        <w:gridCol w:w="1334"/>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3" w:hRule="atLeast"/>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项目</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本年支出合计</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基本支出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项目支出</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上缴上级支出</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经营支出</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科目代码</w:t>
            </w:r>
          </w:p>
        </w:tc>
        <w:tc>
          <w:tcPr>
            <w:tcW w:w="3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科目名称</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宋体" w:cs="Times New Roman"/>
                <w:b/>
                <w:bCs/>
                <w:i w:val="0"/>
                <w:iCs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宋体" w:cs="Times New Roman"/>
                <w:b/>
                <w:bCs/>
                <w:i w:val="0"/>
                <w:iCs w:val="0"/>
                <w:color w:val="000000"/>
                <w:sz w:val="22"/>
                <w:szCs w:val="22"/>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宋体" w:cs="Times New Roman"/>
                <w:b/>
                <w:bCs/>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宋体" w:cs="Times New Roman"/>
                <w:b/>
                <w:bCs/>
                <w:i w:val="0"/>
                <w:iCs w:val="0"/>
                <w:color w:val="000000"/>
                <w:sz w:val="22"/>
                <w:szCs w:val="22"/>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栏次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5"/>
                <w:rFonts w:hint="default" w:hAnsi="Times New Roman"/>
                <w:b/>
                <w:bCs/>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22,308.72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10,008.56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12,300.15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2010699</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其他财政事务支出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2011301</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行政运行</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5,506.22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5,506.22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2011308</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招商引资</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422.62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422.62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2011399</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其他商贸事务支出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4,442.82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253.97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4,188.85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培训支出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74.02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71.40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2080501</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行政单位离退休</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1,284.65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1,095.44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189.21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事业单位离退休</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1,286.99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1,286.99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机关事业单位基本养老保险缴费支出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446.07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446.07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机关事业单位职业年金缴费支出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153.91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153.91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2101101</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行政单位医疗</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279.56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279.56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事业单位医疗</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76.35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76.35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2101103</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公务员医疗补助</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2119999</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其他节能环保支出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2160299</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其他商业流通事务支出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732.36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732.36</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2160699</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其他涉外发展服务支出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6,672.42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6,672.42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2169999</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其他商业服务业等支出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183.99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173.59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Style w:val="25"/>
                <w:rFonts w:hint="default" w:hAnsi="Times New Roman"/>
                <w:lang w:val="en-US" w:eastAsia="zh-CN" w:bidi="ar"/>
              </w:rPr>
              <w:t>住房公积金</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center"/>
        <w:rPr>
          <w:rFonts w:ascii="Times New Roman" w:hAnsi="Times New Roman" w:eastAsia="黑体" w:cs="Times New Roman"/>
          <w:color w:val="000000"/>
          <w:kern w:val="0"/>
          <w:sz w:val="36"/>
          <w:szCs w:val="36"/>
        </w:rPr>
      </w:pPr>
      <w:bookmarkStart w:id="0" w:name="RANGE!A1:I22"/>
      <w:bookmarkEnd w:id="0"/>
      <w:bookmarkStart w:id="1" w:name="RANGE!A1:F16"/>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湖南省商务厅</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48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07"/>
        <w:gridCol w:w="1203"/>
        <w:gridCol w:w="4167"/>
        <w:gridCol w:w="577"/>
        <w:gridCol w:w="1299"/>
        <w:gridCol w:w="1529"/>
        <w:gridCol w:w="1109"/>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blHeader/>
        </w:trPr>
        <w:tc>
          <w:tcPr>
            <w:tcW w:w="5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收</w:t>
            </w:r>
            <w:r>
              <w:rPr>
                <w:rStyle w:val="26"/>
                <w:rFonts w:eastAsia="宋体"/>
                <w:b/>
                <w:bCs/>
                <w:lang w:val="en-US" w:eastAsia="zh-CN" w:bidi="ar"/>
              </w:rPr>
              <w:t xml:space="preserve">     </w:t>
            </w:r>
            <w:r>
              <w:rPr>
                <w:rFonts w:hint="default" w:ascii="仿宋_GB2312" w:hAnsi="Times New Roman" w:eastAsia="仿宋_GB2312" w:cs="仿宋_GB2312"/>
                <w:b/>
                <w:bCs/>
                <w:i w:val="0"/>
                <w:iCs w:val="0"/>
                <w:color w:val="000000"/>
                <w:kern w:val="0"/>
                <w:sz w:val="22"/>
                <w:szCs w:val="22"/>
                <w:u w:val="none"/>
                <w:lang w:val="en-US" w:eastAsia="zh-CN" w:bidi="ar"/>
              </w:rPr>
              <w:t>入</w:t>
            </w:r>
          </w:p>
        </w:tc>
        <w:tc>
          <w:tcPr>
            <w:tcW w:w="98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支</w:t>
            </w:r>
            <w:r>
              <w:rPr>
                <w:rStyle w:val="26"/>
                <w:rFonts w:eastAsia="宋体"/>
                <w:b/>
                <w:bCs/>
                <w:lang w:val="en-US" w:eastAsia="zh-CN" w:bidi="ar"/>
              </w:rPr>
              <w:t xml:space="preserve">     </w:t>
            </w:r>
            <w:r>
              <w:rPr>
                <w:rFonts w:hint="default" w:ascii="仿宋_GB2312" w:hAnsi="Times New Roman" w:eastAsia="仿宋_GB2312" w:cs="仿宋_GB2312"/>
                <w:b/>
                <w:bCs/>
                <w:i w:val="0"/>
                <w:iCs w:val="0"/>
                <w:color w:val="000000"/>
                <w:kern w:val="0"/>
                <w:sz w:val="22"/>
                <w:szCs w:val="22"/>
                <w:u w:val="none"/>
                <w:lang w:val="en-US" w:eastAsia="zh-CN" w:bidi="ar"/>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blHeader/>
        </w:trPr>
        <w:tc>
          <w:tcPr>
            <w:tcW w:w="3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项目</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行次</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金额</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项目</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合计</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一般公共预算财政拨款</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政府性基金预算财政拨款</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blHeader/>
        </w:trPr>
        <w:tc>
          <w:tcPr>
            <w:tcW w:w="3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23,376.26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3,171.63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3,171.63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eastAsia" w:ascii="仿宋_GB2312" w:hAnsi="Times New Roman" w:eastAsia="仿宋_GB2312" w:cs="仿宋_GB2312"/>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23,376.26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eastAsia" w:ascii="仿宋_GB2312" w:hAnsi="Times New Roman" w:eastAsia="仿宋_GB2312" w:cs="仿宋_GB2312"/>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21,881.15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21,881.15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3,479.42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3,479.42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eastAsia" w:ascii="仿宋_GB2312" w:hAnsi="Times New Roman" w:eastAsia="仿宋_GB2312" w:cs="仿宋_GB2312"/>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26,855.68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eastAsia" w:ascii="仿宋_GB2312" w:hAnsi="Times New Roman" w:eastAsia="仿宋_GB2312" w:cs="仿宋_GB2312"/>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26,855.68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26,855.68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bl>
    <w:p>
      <w:pPr>
        <w:pStyle w:val="2"/>
      </w:pP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ind w:left="0" w:leftChars="0" w:firstLine="0" w:firstLineChars="0"/>
        <w:rPr>
          <w:rFonts w:ascii="Times New Roman" w:hAnsi="Times New Roman" w:eastAsia="方正小标宋_GBK" w:cs="Times New Roman"/>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湖南省商务厅</w:t>
      </w:r>
      <w:r>
        <w:rPr>
          <w:rFonts w:ascii="Times New Roman" w:hAnsi="Times New Roman" w:eastAsia="仿宋_GB2312" w:cs="Times New Roman"/>
          <w:color w:val="000000"/>
          <w:kern w:val="0"/>
          <w:szCs w:val="21"/>
        </w:rPr>
        <w:t xml:space="preserve">                                                                                                     公开05表</w:t>
      </w:r>
    </w:p>
    <w:tbl>
      <w:tblPr>
        <w:tblStyle w:val="11"/>
        <w:tblpPr w:leftFromText="180" w:rightFromText="180" w:vertAnchor="text" w:horzAnchor="page" w:tblpX="1650" w:tblpY="344"/>
        <w:tblOverlap w:val="never"/>
        <w:tblW w:w="13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4"/>
        <w:gridCol w:w="4658"/>
        <w:gridCol w:w="2531"/>
        <w:gridCol w:w="2579"/>
        <w:gridCol w:w="2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4"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项目</w:t>
            </w:r>
          </w:p>
        </w:tc>
        <w:tc>
          <w:tcPr>
            <w:tcW w:w="7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trPr>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科目代码</w:t>
            </w:r>
          </w:p>
        </w:tc>
        <w:tc>
          <w:tcPr>
            <w:tcW w:w="4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科目名称</w:t>
            </w:r>
          </w:p>
        </w:tc>
        <w:tc>
          <w:tcPr>
            <w:tcW w:w="2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小计</w:t>
            </w:r>
          </w:p>
        </w:tc>
        <w:tc>
          <w:tcPr>
            <w:tcW w:w="2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基本支出</w:t>
            </w:r>
          </w:p>
        </w:tc>
        <w:tc>
          <w:tcPr>
            <w:tcW w:w="2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4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4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栏次</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合计</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21,881.15</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9,581.00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12,300.15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2010699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其他财政事务支出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0.34</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2011301</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行政运行</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5,506.22</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5,506.22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2011308</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招商引资</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422.62</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2011399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其他商贸事务支出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4,188.85</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培训支出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74.02</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2080501</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行政单位离退休</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1,284.65</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1,095.44</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事业单位离退休</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1,286.99</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1,286.99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机关事业单位基本养老保险缴费支出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446.07</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446.07</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机关事业单位职业年金缴费支出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153.91</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153.91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2101101</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行政单位医疗</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279.56</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279.56</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事业单位医疗</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76.35</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76.35</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2101103</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公务员医疗补助</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248.34</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248.34</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2119999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其他节能环保支出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2160299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其他商业流通事务支出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732.36</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2160699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其他涉外发展服务支出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6,672.42</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6,672.42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2169999</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其他商业服务业等支出</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10.40</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住房公积金</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485.50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bl>
    <w:p>
      <w:pPr>
        <w:widowControl/>
        <w:jc w:val="right"/>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kern w:val="0"/>
          <w:szCs w:val="21"/>
        </w:rPr>
        <w:t>注：本表反映部门本年度一般公共预算财政拨款支出情况。</w:t>
      </w:r>
      <w:r>
        <w:br w:type="page"/>
      </w:r>
    </w:p>
    <w:p>
      <w:pPr>
        <w:widowControl/>
        <w:spacing w:after="120"/>
        <w:jc w:val="center"/>
        <w:textAlignment w:val="center"/>
        <w:outlineLvl w:val="0"/>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rPr>
        <w:t xml:space="preserve">湖南省商务厅   </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77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3556"/>
        <w:gridCol w:w="1129"/>
        <w:gridCol w:w="797"/>
        <w:gridCol w:w="2512"/>
        <w:gridCol w:w="1087"/>
        <w:gridCol w:w="797"/>
        <w:gridCol w:w="3073"/>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blHeader/>
        </w:trPr>
        <w:tc>
          <w:tcPr>
            <w:tcW w:w="54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人员经费</w:t>
            </w:r>
          </w:p>
        </w:tc>
        <w:tc>
          <w:tcPr>
            <w:tcW w:w="92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4" w:hRule="atLeast"/>
          <w:tblHead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科目代码</w:t>
            </w:r>
          </w:p>
        </w:tc>
        <w:tc>
          <w:tcPr>
            <w:tcW w:w="3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科目名称</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决算数</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科目代码</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科目名称</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决算数</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科目代码</w:t>
            </w:r>
          </w:p>
        </w:tc>
        <w:tc>
          <w:tcPr>
            <w:tcW w:w="3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科目名称</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blHead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3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工资福利支出</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基本工资</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津贴补贴</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奖金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伙食补助费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绩效工资</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机关事业单位基本养老保险缴费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职业年金缴费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职工基本医疗保险缴费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公务员医疗补助缴费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其他社会保障缴费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住房公积金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医疗费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其他工资福利支出</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对个人和家庭的补助</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离休费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退休费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退职（役）费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抚恤金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生活补助</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救济费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仿宋_GB2312" w:hAnsi="Times New Roman" w:eastAsia="仿宋_GB2312" w:cs="仿宋_GB2312"/>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医疗费补助</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助学金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奖励金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个人农业生产补贴</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代缴社会保险费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其他对个人和家庭的补助</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仿宋_GB2312" w:hAnsi="Times New Roman" w:eastAsia="仿宋_GB2312" w:cs="仿宋_GB2312"/>
                <w:i w:val="0"/>
                <w:iCs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8" w:hRule="atLeast"/>
        </w:trPr>
        <w:tc>
          <w:tcPr>
            <w:tcW w:w="4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人员经费合计</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8,264.75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Fonts w:hint="default" w:ascii="仿宋_GB2312" w:hAnsi="Times New Roman" w:eastAsia="仿宋_GB2312" w:cs="仿宋_GB2312"/>
                <w:b/>
                <w:bCs/>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1,316.25</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 xml:space="preserve">湖南省商务厅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 xml:space="preserve">项 </w:t>
            </w:r>
            <w:r>
              <w:rPr>
                <w:rStyle w:val="19"/>
                <w:rFonts w:hint="default" w:ascii="Times New Roman" w:hAnsi="Times New Roman" w:eastAsia="仿宋_GB2312" w:cs="Times New Roman"/>
                <w:b/>
                <w:bCs/>
              </w:rPr>
              <w:t xml:space="preserve">   </w:t>
            </w:r>
            <w:r>
              <w:rPr>
                <w:rStyle w:val="20"/>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年末结转和结余</w:t>
            </w:r>
          </w:p>
        </w:tc>
      </w:tr>
      <w:tr>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w:t>
            </w:r>
          </w:p>
        </w:tc>
      </w:tr>
      <w:tr>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 xml:space="preserve">湖南省商务厅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4931" w:type="pct"/>
        <w:tblInd w:w="187" w:type="dxa"/>
        <w:tblLayout w:type="autofit"/>
        <w:tblCellMar>
          <w:top w:w="0" w:type="dxa"/>
          <w:left w:w="108" w:type="dxa"/>
          <w:bottom w:w="0" w:type="dxa"/>
          <w:right w:w="108" w:type="dxa"/>
        </w:tblCellMar>
      </w:tblPr>
      <w:tblGrid>
        <w:gridCol w:w="2903"/>
        <w:gridCol w:w="3097"/>
        <w:gridCol w:w="2124"/>
        <w:gridCol w:w="2800"/>
        <w:gridCol w:w="3100"/>
      </w:tblGrid>
      <w:tr>
        <w:trPr>
          <w:trHeight w:val="548" w:hRule="atLeast"/>
        </w:trPr>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 xml:space="preserve">项 </w:t>
            </w:r>
            <w:r>
              <w:rPr>
                <w:rFonts w:hint="default" w:ascii="Times New Roman" w:hAnsi="Times New Roman" w:eastAsia="仿宋_GB2312" w:cs="Times New Roman"/>
                <w:b/>
                <w:bCs/>
                <w:color w:val="000000"/>
                <w:kern w:val="0"/>
                <w:sz w:val="22"/>
              </w:rPr>
              <w:t xml:space="preserve">   </w:t>
            </w:r>
            <w:r>
              <w:rPr>
                <w:rStyle w:val="21"/>
                <w:rFonts w:hint="default" w:ascii="Times New Roman" w:hAnsi="Times New Roman" w:eastAsia="仿宋_GB2312" w:cs="Times New Roman"/>
                <w:b/>
                <w:bCs/>
              </w:rPr>
              <w:t>目</w:t>
            </w:r>
          </w:p>
        </w:tc>
        <w:tc>
          <w:tcPr>
            <w:tcW w:w="28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本年支出</w:t>
            </w:r>
          </w:p>
        </w:tc>
      </w:tr>
      <w:tr>
        <w:trPr>
          <w:trHeight w:val="312" w:hRule="exact"/>
        </w:trPr>
        <w:tc>
          <w:tcPr>
            <w:tcW w:w="10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科目代码</w:t>
            </w:r>
          </w:p>
        </w:tc>
        <w:tc>
          <w:tcPr>
            <w:tcW w:w="11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科目名称</w:t>
            </w:r>
          </w:p>
        </w:tc>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合计</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 xml:space="preserve">基本支出  </w:t>
            </w:r>
          </w:p>
        </w:tc>
        <w:tc>
          <w:tcPr>
            <w:tcW w:w="11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rPr>
              <w:t>项目支出</w:t>
            </w:r>
          </w:p>
        </w:tc>
      </w:tr>
      <w:tr>
        <w:trPr>
          <w:trHeight w:val="312" w:hRule="exac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312" w:hRule="atLeast"/>
        </w:trPr>
        <w:tc>
          <w:tcPr>
            <w:tcW w:w="10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1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548" w:hRule="atLeast"/>
        </w:trPr>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栏次</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r>
      <w:tr>
        <w:trPr>
          <w:trHeight w:val="548" w:hRule="atLeast"/>
        </w:trPr>
        <w:tc>
          <w:tcPr>
            <w:tcW w:w="21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合计</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0.00</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4"/>
                <w:szCs w:val="24"/>
                <w:lang w:val="en-US" w:eastAsia="zh-CN"/>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r>
      <w:tr>
        <w:trPr>
          <w:trHeight w:val="548"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0"/>
                <w:szCs w:val="20"/>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48"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000000"/>
                <w:sz w:val="24"/>
                <w:szCs w:val="24"/>
              </w:rPr>
            </w:pPr>
          </w:p>
        </w:tc>
      </w:tr>
      <w:tr>
        <w:trPr>
          <w:trHeight w:val="548"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0"/>
                <w:szCs w:val="20"/>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r>
      <w:tr>
        <w:trPr>
          <w:trHeight w:val="548"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r>
      <w:tr>
        <w:trPr>
          <w:trHeight w:val="548"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r>
      <w:tr>
        <w:trPr>
          <w:trHeight w:val="548"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9"/>
        <w:spacing w:line="400" w:lineRule="exact"/>
        <w:rPr>
          <w:rFonts w:ascii="Times New Roman" w:hAnsi="Times New Roman" w:eastAsia="华文中宋" w:cs="Times New Roman"/>
          <w:color w:val="000000"/>
          <w:kern w:val="0"/>
          <w:sz w:val="32"/>
          <w:szCs w:val="32"/>
        </w:rPr>
      </w:pPr>
    </w:p>
    <w:p>
      <w:pPr>
        <w:widowControl/>
        <w:spacing w:after="156" w:afterLines="50"/>
        <w:jc w:val="center"/>
        <w:textAlignment w:val="center"/>
        <w:outlineLvl w:val="0"/>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 xml:space="preserve">湖南省商务厅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决算数</w:t>
            </w:r>
          </w:p>
        </w:tc>
      </w:tr>
      <w:tr>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公务接待费</w:t>
            </w:r>
          </w:p>
        </w:tc>
      </w:tr>
      <w:tr>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公务用车</w:t>
            </w:r>
            <w:r>
              <w:rPr>
                <w:rFonts w:hint="default" w:ascii="Times New Roman" w:hAnsi="Times New Roman" w:eastAsia="仿宋_GB2312" w:cs="Times New Roman"/>
                <w:b/>
                <w:bCs/>
                <w:color w:val="000000"/>
                <w:kern w:val="0"/>
                <w:sz w:val="22"/>
              </w:rPr>
              <w:br w:type="textWrapping"/>
            </w:r>
            <w:r>
              <w:rPr>
                <w:rFonts w:hint="default"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公务用车</w:t>
            </w:r>
            <w:r>
              <w:rPr>
                <w:rFonts w:hint="default" w:ascii="Times New Roman" w:hAnsi="Times New Roman" w:eastAsia="仿宋_GB2312" w:cs="Times New Roman"/>
                <w:b/>
                <w:bCs/>
                <w:color w:val="000000"/>
                <w:kern w:val="0"/>
                <w:sz w:val="22"/>
              </w:rPr>
              <w:br w:type="textWrapping"/>
            </w:r>
            <w:r>
              <w:rPr>
                <w:rFonts w:hint="default"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公务用车</w:t>
            </w:r>
            <w:r>
              <w:rPr>
                <w:rFonts w:hint="default" w:ascii="Times New Roman" w:hAnsi="Times New Roman" w:eastAsia="仿宋_GB2312" w:cs="Times New Roman"/>
                <w:b/>
                <w:bCs/>
                <w:color w:val="000000"/>
                <w:kern w:val="0"/>
                <w:sz w:val="22"/>
              </w:rPr>
              <w:br w:type="textWrapping"/>
            </w:r>
            <w:r>
              <w:rPr>
                <w:rFonts w:hint="default"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rPr>
              <w:t>公务用车</w:t>
            </w:r>
            <w:r>
              <w:rPr>
                <w:rFonts w:hint="default" w:ascii="Times New Roman" w:hAnsi="Times New Roman" w:eastAsia="仿宋_GB2312" w:cs="Times New Roman"/>
                <w:b/>
                <w:bCs/>
                <w:color w:val="000000"/>
                <w:kern w:val="0"/>
                <w:sz w:val="22"/>
              </w:rPr>
              <w:br w:type="textWrapping"/>
            </w:r>
            <w:r>
              <w:rPr>
                <w:rFonts w:hint="default"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2"/>
              </w:rPr>
            </w:pPr>
          </w:p>
        </w:tc>
      </w:tr>
      <w:tr>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12</w:t>
            </w:r>
          </w:p>
        </w:tc>
      </w:tr>
      <w:tr>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598.50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422.50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99.00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470.20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417.20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39.74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39.74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13.25</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pPr>
        <w:pStyle w:val="16"/>
        <w:rPr>
          <w:rFonts w:ascii="Times New Roman" w:hAnsi="Times New Roman" w:cs="Times New Roman"/>
          <w:sz w:val="72"/>
          <w:szCs w:val="72"/>
        </w:rPr>
      </w:pPr>
    </w:p>
    <w:p>
      <w:pPr>
        <w:pStyle w:val="16"/>
        <w:rPr>
          <w:rFonts w:ascii="Times New Roman" w:hAnsi="Times New Roman" w:cs="Times New Roman"/>
          <w:sz w:val="72"/>
          <w:szCs w:val="72"/>
        </w:rPr>
      </w:pPr>
    </w:p>
    <w:p>
      <w:pPr>
        <w:pStyle w:val="16"/>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eastAsia="方正小标宋_GBK"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6"/>
        <w:spacing w:line="360" w:lineRule="auto"/>
        <w:jc w:val="center"/>
        <w:outlineLvl w:val="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br w:type="page"/>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29,270.30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7,670.94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20.77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年度专项资金下达至部门预算资金较上年度有所减少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此外，2024年为中非经贸博览会闭会年，厅本级中非经贸博览会收入</w:t>
      </w:r>
      <w:r>
        <w:rPr>
          <w:rFonts w:hint="eastAsia" w:ascii="Times New Roman" w:hAnsi="Times New Roman" w:eastAsia="仿宋_GB2312" w:cs="Times New Roman"/>
          <w:sz w:val="32"/>
          <w:szCs w:val="32"/>
          <w:lang w:val="en-US" w:eastAsia="zh-CN"/>
        </w:rPr>
        <w:t>较上年</w:t>
      </w:r>
      <w:r>
        <w:rPr>
          <w:rFonts w:hint="eastAsia" w:ascii="Times New Roman" w:hAnsi="Times New Roman" w:eastAsia="仿宋_GB2312" w:cs="Times New Roman"/>
          <w:sz w:val="32"/>
          <w:szCs w:val="32"/>
        </w:rPr>
        <w:t>减少。</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23,387.18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23,376.26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99.95</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10.91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22,308.72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10,008.56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44.86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12,300.15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55.14</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26,855.68</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7,082.47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20.87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年度专项资金下达至部门预算资金较上年度有所减少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此外，2024年为中非经贸博览会闭会年，厅本级中非经贸博览会收入</w:t>
      </w:r>
      <w:r>
        <w:rPr>
          <w:rFonts w:hint="eastAsia" w:ascii="Times New Roman" w:hAnsi="Times New Roman" w:eastAsia="仿宋_GB2312" w:cs="Times New Roman"/>
          <w:sz w:val="32"/>
          <w:szCs w:val="32"/>
          <w:lang w:val="en-US" w:eastAsia="zh-CN"/>
        </w:rPr>
        <w:t>较上年</w:t>
      </w:r>
      <w:r>
        <w:rPr>
          <w:rFonts w:hint="eastAsia" w:ascii="Times New Roman" w:hAnsi="Times New Roman" w:eastAsia="仿宋_GB2312" w:cs="Times New Roman"/>
          <w:sz w:val="32"/>
          <w:szCs w:val="32"/>
        </w:rPr>
        <w:t>减少。</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6"/>
        <w:overflowPunct w:val="0"/>
        <w:autoSpaceDE/>
        <w:autoSpaceDN/>
        <w:spacing w:line="600" w:lineRule="exact"/>
        <w:ind w:firstLine="640" w:firstLineChars="200"/>
        <w:jc w:val="both"/>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21,881.15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98.08</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6,615.79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23.22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年度专项资金下达至部门预算资金较上年度有所减少，导致本年支出减少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此外，2024年为</w:t>
      </w:r>
      <w:r>
        <w:rPr>
          <w:rFonts w:hint="eastAsia" w:ascii="Times New Roman" w:hAnsi="Times New Roman" w:eastAsia="仿宋_GB2312" w:cs="Times New Roman"/>
          <w:sz w:val="32"/>
          <w:szCs w:val="32"/>
        </w:rPr>
        <w:t>中非经贸博览会闭会年，导致厅本级本年支出</w:t>
      </w:r>
      <w:r>
        <w:rPr>
          <w:rFonts w:hint="eastAsia" w:ascii="Times New Roman" w:hAnsi="Times New Roman" w:eastAsia="仿宋_GB2312" w:cs="Times New Roman"/>
          <w:sz w:val="32"/>
          <w:szCs w:val="32"/>
          <w:lang w:val="en-US" w:eastAsia="zh-CN"/>
        </w:rPr>
        <w:t>较上年</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w:t>
      </w:r>
    </w:p>
    <w:p>
      <w:pPr>
        <w:pStyle w:val="16"/>
        <w:overflowPunct w:val="0"/>
        <w:autoSpaceDE/>
        <w:autoSpaceDN/>
        <w:spacing w:line="600" w:lineRule="exact"/>
        <w:ind w:firstLine="640" w:firstLineChars="200"/>
        <w:jc w:val="both"/>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21,881.15</w:t>
      </w:r>
      <w:r>
        <w:rPr>
          <w:rFonts w:ascii="Times New Roman" w:hAnsi="Times New Roman" w:eastAsia="仿宋_GB2312" w:cs="Times New Roman"/>
          <w:sz w:val="32"/>
          <w:szCs w:val="32"/>
        </w:rPr>
        <w:t>万元，主要用于以下方面：一般公共服务支出</w:t>
      </w:r>
      <w:r>
        <w:rPr>
          <w:rFonts w:hint="eastAsia" w:ascii="Times New Roman" w:hAnsi="Times New Roman" w:eastAsia="仿宋_GB2312" w:cs="Times New Roman"/>
          <w:sz w:val="32"/>
          <w:szCs w:val="32"/>
          <w:lang w:val="en-US" w:eastAsia="zh-CN"/>
        </w:rPr>
        <w:t>10,118.03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46.24</w:t>
      </w:r>
      <w:r>
        <w:rPr>
          <w:rFonts w:ascii="Times New Roman" w:hAnsi="Times New Roman" w:eastAsia="仿宋_GB2312" w:cs="Times New Roman"/>
          <w:sz w:val="32"/>
          <w:szCs w:val="32"/>
        </w:rPr>
        <w:t>%；教育支出</w:t>
      </w:r>
      <w:r>
        <w:rPr>
          <w:rFonts w:hint="eastAsia" w:ascii="Times New Roman" w:hAnsi="Times New Roman" w:eastAsia="仿宋_GB2312" w:cs="Times New Roman"/>
          <w:sz w:val="32"/>
          <w:szCs w:val="32"/>
          <w:lang w:val="en-US" w:eastAsia="zh-CN"/>
        </w:rPr>
        <w:t>74.02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0.34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社会保障和就业支出3,171.63万元，占14.49%；卫生健康支出604.24万元，占2.76%；节能环保支出12.57万元，占0.06%；商业服务业等支出7,415.17万元，占33.89%；住房保障支出485.50万元，占2.22%。</w:t>
      </w:r>
    </w:p>
    <w:p>
      <w:pPr>
        <w:pStyle w:val="16"/>
        <w:overflowPunct w:val="0"/>
        <w:autoSpaceDE/>
        <w:autoSpaceDN/>
        <w:spacing w:line="600" w:lineRule="exact"/>
        <w:ind w:firstLine="640" w:firstLineChars="200"/>
        <w:jc w:val="both"/>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（三）一般公共预算财政拨款支出决算具体情况</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2024年度财政拨款支出年初预算数为17,232.43万元，支出决算数为21,881.15万元，完成年初预算的126.98%，其中：</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一般公共服务（类）商贸事务（款）行政运行（项）。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年初预算为5,691.45万元，支出决算为5,506.22万元，完成年初预算的96.75%，决算数小于年初预算数的主要原因是：我厅厉行节约，行政运行经费有所结余。</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一般公共服务支出（类）商贸事务（款）其他商贸事务支出（项）。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年初预算为4,661.79元，支出决算为4,188.85万元，完成年初预算的89.85%，决算数小于年初预算数的主要原因是：中部博览会等上年结转指标结余。</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教育支出（类）进修及培训（款）培训支出（项）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年初预算为89.06万元，支出决算为74.02万元，完成年初预算的83.11%，决算数小于年初预算数的主要原因是：商务人才培养等项目支出存在结余。</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社会保障和就业支出（类）行政事业单位离退休（款）行政单位离退休（项）。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年初预算为1,131.00万元，支出决算为1,284.65万元，完成年初预算的113.59%，决算数大于年初预算数的主要原因是：厅本级支出跨年退单指标。</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社会保障和就业支出（类）行政事业单位离退休（款）事业单位离退休（项）。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年初预算为1,452.00万元，支出决算为1,286.99万元，完成年初预算的88.64%，决算数小于年初预算数的主要原因是：湖南省商务服务中心2024年有一名离休人员去世，离休费等支出存在指标结余。</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卫生健康支出（类）行政事业单位医疗（款）行政单位医疗（项）。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年初预算为280万元，支出决算为279.56万元，完成年初预算的99.84%，决算数小于年初预算数的主要原因是：厅本级医疗费补助存在小额结余。</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卫生健康支出（类）行政事业单位医疗（款）公务员医疗补助（项）。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年初预算为256万元，支出决算为248.34万元，完成年初预算的97.01%，决算数小于年初预算数的主要原因是：湖南省商务服务中心公务员医疗补助缴费有所结余。</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节能环保支出（类）其他节能环保支出（款）其他节能环保支出（项）。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年初预算为0万元，支出决算为12.57万元，决算数大于年初预算数的主要原因是：年中追加2024年碳达峰碳中和专项经费。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商业服务业等支出（类）涉外发展服务支出（款）其他涉外发展服务支出（项）。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28.82</w:t>
      </w:r>
      <w:r>
        <w:rPr>
          <w:rFonts w:hint="eastAsia" w:ascii="Times New Roman" w:hAnsi="Times New Roman" w:eastAsia="仿宋_GB2312" w:cs="Times New Roman"/>
          <w:sz w:val="32"/>
          <w:szCs w:val="32"/>
        </w:rPr>
        <w:t>万元，支出决算为6,6</w:t>
      </w:r>
      <w:r>
        <w:rPr>
          <w:rFonts w:hint="eastAsia" w:ascii="Times New Roman" w:hAnsi="Times New Roman" w:eastAsia="仿宋_GB2312" w:cs="Times New Roman"/>
          <w:sz w:val="32"/>
          <w:szCs w:val="32"/>
          <w:lang w:val="en-US" w:eastAsia="zh-CN"/>
        </w:rPr>
        <w:t>72.42</w:t>
      </w:r>
      <w:r>
        <w:rPr>
          <w:rFonts w:hint="eastAsia" w:ascii="Times New Roman" w:hAnsi="Times New Roman" w:eastAsia="仿宋_GB2312" w:cs="Times New Roman"/>
          <w:sz w:val="32"/>
          <w:szCs w:val="32"/>
        </w:rPr>
        <w:t>万元，决算数大于年初预算数的主要原因是：年中追加省级专项资金。</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住房保障支出（类）住房改革支出（款）住房公积金（项）</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年初预算为494万元，支出决算为485.5</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万元，完成年初预算的98.28%，决算数小于年初预算数的主要原因是：我厅2024年度人员存在变动，住房公积金经费有所结余。</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9,581.00</w:t>
      </w:r>
      <w:r>
        <w:rPr>
          <w:rFonts w:ascii="Times New Roman" w:hAnsi="Times New Roman" w:eastAsia="仿宋_GB2312" w:cs="Times New Roman"/>
          <w:sz w:val="32"/>
          <w:szCs w:val="32"/>
        </w:rPr>
        <w:t>万元，其中：</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8,264.75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86.26</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、机关事业单位基本养老保险缴费、职工基本医疗保险缴费、 公务员医疗补助缴费、</w:t>
      </w:r>
      <w:r>
        <w:rPr>
          <w:rFonts w:hint="eastAsia" w:ascii="Times New Roman" w:hAnsi="Times New Roman" w:eastAsia="仿宋_GB2312" w:cs="Times New Roman"/>
          <w:sz w:val="32"/>
          <w:szCs w:val="32"/>
          <w:lang w:val="en-US" w:eastAsia="zh-CN"/>
        </w:rPr>
        <w:t>退休费、离休费、抚恤金等</w:t>
      </w:r>
      <w:r>
        <w:rPr>
          <w:rFonts w:ascii="Times New Roman" w:hAnsi="Times New Roman" w:eastAsia="仿宋_GB2312" w:cs="Times New Roman"/>
          <w:sz w:val="32"/>
          <w:szCs w:val="32"/>
        </w:rPr>
        <w:t>。</w:t>
      </w:r>
    </w:p>
    <w:p>
      <w:pPr>
        <w:pStyle w:val="10"/>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left"/>
        <w:rPr>
          <w:rFonts w:hint="default" w:ascii="Calibri (正文)" w:hAnsi="Calibri (正文)" w:eastAsia="仿宋_GB2312" w:cs="Calibri (正文)"/>
          <w:sz w:val="32"/>
          <w:szCs w:val="32"/>
          <w:lang w:val="en-US"/>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1,316.25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13.74</w:t>
      </w:r>
      <w:r>
        <w:rPr>
          <w:rFonts w:ascii="Times New Roman" w:hAnsi="Times New Roman" w:eastAsia="仿宋_GB2312" w:cs="Times New Roman"/>
          <w:sz w:val="32"/>
          <w:szCs w:val="32"/>
        </w:rPr>
        <w:t>%，主要包括</w:t>
      </w:r>
      <w:r>
        <w:rPr>
          <w:rFonts w:hint="eastAsia" w:ascii="Calibri (正文)" w:hAnsi="Calibri (正文)" w:eastAsia="仿宋_GB2312" w:cs="Calibri (正文)"/>
          <w:color w:val="000000"/>
          <w:kern w:val="0"/>
          <w:sz w:val="32"/>
          <w:szCs w:val="32"/>
          <w:lang w:val="en-US" w:eastAsia="zh-CN" w:bidi="ar"/>
        </w:rPr>
        <w:t>物业管理费、差旅费、劳务费、</w:t>
      </w:r>
      <w:r>
        <w:rPr>
          <w:rFonts w:ascii="Times New Roman" w:hAnsi="Times New Roman" w:eastAsia="仿宋_GB2312" w:cs="Times New Roman"/>
          <w:sz w:val="32"/>
          <w:szCs w:val="32"/>
        </w:rPr>
        <w:t>办公费、</w:t>
      </w:r>
      <w:r>
        <w:rPr>
          <w:rFonts w:hint="eastAsia" w:ascii="Times New Roman" w:hAnsi="Times New Roman" w:eastAsia="仿宋_GB2312" w:cs="Times New Roman"/>
          <w:sz w:val="32"/>
          <w:szCs w:val="32"/>
          <w:lang w:val="en-US" w:eastAsia="zh-CN"/>
        </w:rPr>
        <w:t>印刷费、电费、水费、</w:t>
      </w:r>
      <w:r>
        <w:rPr>
          <w:rFonts w:hint="eastAsia" w:ascii="Calibri (正文)" w:hAnsi="Calibri (正文)" w:eastAsia="仿宋_GB2312" w:cs="Calibri (正文)"/>
          <w:color w:val="000000"/>
          <w:kern w:val="0"/>
          <w:sz w:val="32"/>
          <w:szCs w:val="32"/>
          <w:lang w:val="en-US" w:eastAsia="zh-CN" w:bidi="ar"/>
        </w:rPr>
        <w:t>其他交通费用等。</w:t>
      </w:r>
    </w:p>
    <w:p>
      <w:pPr>
        <w:pStyle w:val="16"/>
        <w:numPr>
          <w:ilvl w:val="0"/>
          <w:numId w:val="1"/>
        </w:numPr>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pPr>
        <w:pStyle w:val="16"/>
        <w:numPr>
          <w:ilvl w:val="0"/>
          <w:numId w:val="0"/>
        </w:numPr>
        <w:overflowPunct w:val="0"/>
        <w:autoSpaceDE/>
        <w:autoSpaceDN/>
        <w:spacing w:line="600" w:lineRule="exact"/>
        <w:ind w:firstLine="640" w:firstLineChars="200"/>
        <w:jc w:val="both"/>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598.50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470.20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78.56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2.33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0.50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我厅2024年未购置公务用车，且厅本级存在报废3辆公务用车。</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较上年增加</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6"/>
        <w:overflowPunct w:val="0"/>
        <w:autoSpaceDE/>
        <w:autoSpaceDN/>
        <w:spacing w:line="60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因公出国（境）费支出预算为422.50万元，支出决算为417.20万元，完成预算的98.75%；与上年相比增加51.62万元，增长14.12%。决算数小于预算数的主要原因是我厅严格落实过紧日子要求，厉行节约。决算数大于上年数的主要原因是我厅2024年出国（境）人员和出访国家数量较上年增加。2024年度安排因公出国（境）团组20个，累计61人次，主要包括：境内外经贸对接活动、经贸招商与推介对接以及招商引资前期费用。主要用于出国出境人员交通费、住宿费、出访服务费等。</w:t>
      </w:r>
    </w:p>
    <w:p>
      <w:pPr>
        <w:pStyle w:val="16"/>
        <w:overflowPunct w:val="0"/>
        <w:autoSpaceDE/>
        <w:autoSpaceDN/>
        <w:spacing w:line="60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2.公务用车购置费及运行维护费支出预算为120万元，支出决算为39.74万元，完成预算的33.12%；与上年相比减少49.44万元，降低55.44%。其中：</w:t>
      </w:r>
    </w:p>
    <w:p>
      <w:pPr>
        <w:pStyle w:val="16"/>
        <w:overflowPunct w:val="0"/>
        <w:autoSpaceDE/>
        <w:autoSpaceDN/>
        <w:spacing w:line="600" w:lineRule="exact"/>
        <w:ind w:firstLine="640" w:firstLineChars="200"/>
        <w:jc w:val="both"/>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公务用车购置费支出预算为21万元，支出决算为0万元；与上年相比减少17.98万元，降低100%。决算数小于预算数的主要原因是我厅2024年未购置公务用车，决算数小于上年数的主要原因是我厅2024年未购置公务用车。</w:t>
      </w:r>
    </w:p>
    <w:p>
      <w:pPr>
        <w:pStyle w:val="16"/>
        <w:overflowPunct w:val="0"/>
        <w:autoSpaceDE/>
        <w:autoSpaceDN/>
        <w:spacing w:line="600" w:lineRule="exact"/>
        <w:ind w:firstLine="640" w:firstLineChars="200"/>
        <w:jc w:val="both"/>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运行维护费支出预算为99万元，支出决算为39.74万元，主要是油料费、保险费、维修年检等支出，完成预算的40.14%；与上年相比减少31.46万元，降低44.18%。决算数小于预算数的主要原因是厅本级2024年度报废3辆公务用车，降低了部分车辆</w:t>
      </w:r>
      <w:r>
        <w:rPr>
          <w:rFonts w:hint="eastAsia" w:ascii="Times New Roman" w:hAnsi="Times New Roman" w:eastAsia="仿宋_GB2312" w:cs="Times New Roman"/>
          <w:sz w:val="32"/>
          <w:szCs w:val="32"/>
          <w:lang w:eastAsia="zh-CN"/>
        </w:rPr>
        <w:t>维保</w:t>
      </w:r>
      <w:r>
        <w:rPr>
          <w:rFonts w:hint="eastAsia" w:ascii="Times New Roman" w:hAnsi="Times New Roman" w:eastAsia="仿宋_GB2312" w:cs="Times New Roman"/>
          <w:sz w:val="32"/>
          <w:szCs w:val="32"/>
        </w:rPr>
        <w:t>等相关支出。决算数小于上年数的主要原因是厅本级2024年报废3辆公务用车。截止2024年12月31日，我单位开支财政拨款的公务用车保有量为17辆。</w:t>
      </w:r>
    </w:p>
    <w:p>
      <w:pPr>
        <w:pStyle w:val="16"/>
        <w:overflowPunct w:val="0"/>
        <w:autoSpaceDE/>
        <w:autoSpaceDN/>
        <w:spacing w:line="600" w:lineRule="exact"/>
        <w:ind w:firstLine="640" w:firstLineChars="200"/>
        <w:jc w:val="both"/>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公务接待费支出预算为56万元，支出决算为13.25万元，完成预算的23.66%；与上年相比增加0.15万元，增长1.15%。决算数小于预算数的主要原因是我厅严格贯彻落实厉行节约反对浪费精神，加强公务接待管理。决算数大于上年数的主要原因是我厅2024年接待</w:t>
      </w:r>
      <w:r>
        <w:rPr>
          <w:rFonts w:hint="eastAsia" w:ascii="Times New Roman" w:hAnsi="Times New Roman" w:eastAsia="仿宋_GB2312" w:cs="Times New Roman"/>
          <w:sz w:val="32"/>
          <w:szCs w:val="32"/>
          <w:lang w:eastAsia="zh-CN"/>
        </w:rPr>
        <w:t>批次、人员数量</w:t>
      </w:r>
      <w:r>
        <w:rPr>
          <w:rFonts w:hint="eastAsia" w:ascii="Times New Roman" w:hAnsi="Times New Roman" w:eastAsia="仿宋_GB2312" w:cs="Times New Roman"/>
          <w:sz w:val="32"/>
          <w:szCs w:val="32"/>
        </w:rPr>
        <w:t>较去年相应提高，故整体费用存在小幅上升。2024年度共接待来访团组71个、来宾444人次，主要是接待商务部等有关单位开展工作、业务联系、工作交流以及接待来访客商等发生的接待支出。</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我厅</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政府性基金</w:t>
      </w:r>
      <w:r>
        <w:rPr>
          <w:rFonts w:hint="eastAsia" w:ascii="Times New Roman" w:hAnsi="Times New Roman" w:eastAsia="仿宋_GB2312" w:cs="Times New Roman"/>
          <w:sz w:val="32"/>
          <w:szCs w:val="32"/>
          <w:lang w:val="en-US" w:eastAsia="zh-CN"/>
        </w:rPr>
        <w:t>相关收入支出</w:t>
      </w:r>
      <w:r>
        <w:rPr>
          <w:rFonts w:hint="eastAsia" w:ascii="Times New Roman" w:hAnsi="Times New Roman" w:eastAsia="仿宋_GB2312" w:cs="Times New Roman"/>
          <w:sz w:val="32"/>
          <w:szCs w:val="32"/>
          <w:lang w:eastAsia="zh-CN"/>
        </w:rPr>
        <w:t>。</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6"/>
        <w:overflowPunct w:val="0"/>
        <w:autoSpaceDE/>
        <w:autoSpaceDN/>
        <w:spacing w:line="600" w:lineRule="exact"/>
        <w:ind w:firstLine="640" w:firstLineChars="200"/>
        <w:jc w:val="both"/>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本部门2024年度机关运行经费支出1,316.25万元，比年初预算数减少196.76万元，降低13%。主要原因是：我厅严格落实过紧日子要求，厉行节约，进一步压减公用经费。</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alibri (正文)" w:hAnsi="Calibri (正文)" w:eastAsia="仿宋_GB2312" w:cs="Calibri (正文)"/>
          <w:color w:val="auto"/>
          <w:sz w:val="32"/>
          <w:szCs w:val="32"/>
        </w:rPr>
      </w:pPr>
      <w:r>
        <w:rPr>
          <w:rFonts w:ascii="Times New Roman" w:hAnsi="Times New Roman" w:eastAsia="仿宋_GB2312" w:cs="Times New Roman"/>
          <w:sz w:val="32"/>
          <w:szCs w:val="32"/>
        </w:rPr>
        <w:t>2024年本部门开支会议费</w:t>
      </w:r>
      <w:r>
        <w:rPr>
          <w:rFonts w:hint="default" w:ascii="Times New Roman" w:hAnsi="Times New Roman" w:eastAsia="仿宋_GB2312" w:cs="Times New Roman"/>
          <w:color w:val="000000"/>
          <w:kern w:val="0"/>
          <w:sz w:val="32"/>
          <w:szCs w:val="32"/>
          <w:lang w:val="en-US" w:eastAsia="zh-CN" w:bidi="ar"/>
        </w:rPr>
        <w:t>738.24</w:t>
      </w:r>
      <w:r>
        <w:rPr>
          <w:rFonts w:ascii="Times New Roman" w:hAnsi="Times New Roman" w:eastAsia="仿宋_GB2312" w:cs="Times New Roman"/>
          <w:sz w:val="32"/>
          <w:szCs w:val="32"/>
        </w:rPr>
        <w:t>万元，</w:t>
      </w:r>
      <w:r>
        <w:rPr>
          <w:rFonts w:hint="eastAsia" w:ascii="Calibri (正文)" w:hAnsi="Calibri (正文)" w:eastAsia="仿宋_GB2312" w:cs="Calibri (正文)"/>
          <w:sz w:val="32"/>
          <w:szCs w:val="32"/>
        </w:rPr>
        <w:t>用于召开</w:t>
      </w:r>
      <w:r>
        <w:rPr>
          <w:rFonts w:hint="eastAsia" w:ascii="Calibri (正文)" w:hAnsi="Calibri (正文)" w:eastAsia="仿宋_GB2312" w:cs="Calibri (正文)"/>
          <w:sz w:val="32"/>
          <w:szCs w:val="32"/>
          <w:lang w:eastAsia="zh-CN"/>
        </w:rPr>
        <w:t>第十三届中部博览会、</w:t>
      </w:r>
      <w:r>
        <w:rPr>
          <w:rFonts w:hint="eastAsia" w:ascii="Calibri (正文)" w:hAnsi="Calibri (正文)" w:eastAsia="仿宋_GB2312" w:cs="Calibri (正文)"/>
          <w:color w:val="auto"/>
          <w:sz w:val="32"/>
          <w:szCs w:val="32"/>
          <w:lang w:eastAsia="zh-CN"/>
        </w:rPr>
        <w:t>全省</w:t>
      </w:r>
      <w:r>
        <w:rPr>
          <w:rFonts w:hint="eastAsia" w:ascii="Calibri (正文)" w:hAnsi="Calibri (正文)" w:eastAsia="仿宋_GB2312" w:cs="Calibri (正文)"/>
          <w:color w:val="auto"/>
          <w:sz w:val="32"/>
          <w:szCs w:val="32"/>
        </w:rPr>
        <w:t>商务工作会、湖南自贸领导小组会议</w:t>
      </w:r>
      <w:r>
        <w:rPr>
          <w:rFonts w:hint="eastAsia" w:ascii="Calibri (正文)" w:hAnsi="Calibri (正文)" w:eastAsia="仿宋_GB2312" w:cs="Calibri (正文)"/>
          <w:color w:val="auto"/>
          <w:sz w:val="32"/>
          <w:szCs w:val="32"/>
          <w:lang w:eastAsia="zh-CN"/>
        </w:rPr>
        <w:t>、中非经贸深度合作先行区会商会、消费场景与品牌对接会、中非经贸合作先行区建设暨中非走进非洲推介会、内外贸一体化交易会、先进制造业应用场景大会</w:t>
      </w:r>
      <w:r>
        <w:rPr>
          <w:rFonts w:hint="eastAsia" w:ascii="Calibri (正文)" w:hAnsi="Calibri (正文)" w:eastAsia="仿宋_GB2312" w:cs="Calibri (正文)"/>
          <w:color w:val="auto"/>
          <w:sz w:val="32"/>
          <w:szCs w:val="32"/>
        </w:rPr>
        <w:t>等会议</w:t>
      </w:r>
      <w:r>
        <w:rPr>
          <w:rFonts w:hint="eastAsia" w:ascii="Calibri (正文)" w:hAnsi="Calibri (正文)" w:eastAsia="仿宋_GB2312" w:cs="Calibri (正文)"/>
          <w:color w:val="auto"/>
          <w:sz w:val="32"/>
          <w:szCs w:val="32"/>
          <w:lang w:eastAsia="zh-CN"/>
        </w:rPr>
        <w:t>，</w:t>
      </w:r>
      <w:r>
        <w:rPr>
          <w:rFonts w:hint="eastAsia" w:ascii="Calibri (正文)" w:hAnsi="Calibri (正文)" w:eastAsia="仿宋_GB2312" w:cs="Calibri (正文)"/>
          <w:sz w:val="32"/>
          <w:szCs w:val="32"/>
        </w:rPr>
        <w:t>内容</w:t>
      </w:r>
      <w:r>
        <w:rPr>
          <w:rFonts w:hint="eastAsia" w:ascii="Calibri (正文)" w:hAnsi="Calibri (正文)" w:eastAsia="仿宋_GB2312" w:cs="Calibri (正文)"/>
          <w:color w:val="auto"/>
          <w:sz w:val="32"/>
          <w:szCs w:val="32"/>
        </w:rPr>
        <w:t>为全省商务形势</w:t>
      </w:r>
      <w:r>
        <w:rPr>
          <w:rFonts w:hint="eastAsia" w:ascii="Calibri (正文)" w:hAnsi="Calibri (正文)" w:eastAsia="仿宋_GB2312" w:cs="Calibri (正文)"/>
          <w:color w:val="auto"/>
          <w:sz w:val="32"/>
          <w:szCs w:val="32"/>
          <w:lang w:eastAsia="zh-CN"/>
        </w:rPr>
        <w:t>和</w:t>
      </w:r>
      <w:r>
        <w:rPr>
          <w:rFonts w:hint="eastAsia" w:ascii="Calibri (正文)" w:hAnsi="Calibri (正文)" w:eastAsia="仿宋_GB2312" w:cs="Calibri (正文)"/>
          <w:color w:val="auto"/>
          <w:sz w:val="32"/>
          <w:szCs w:val="32"/>
        </w:rPr>
        <w:t>开放型经济形势分析</w:t>
      </w:r>
      <w:r>
        <w:rPr>
          <w:rFonts w:hint="eastAsia" w:ascii="Calibri (正文)" w:hAnsi="Calibri (正文)" w:eastAsia="仿宋_GB2312" w:cs="Calibri (正文)"/>
          <w:color w:val="auto"/>
          <w:sz w:val="32"/>
          <w:szCs w:val="32"/>
          <w:lang w:eastAsia="zh-CN"/>
        </w:rPr>
        <w:t>、经贸对接活动和</w:t>
      </w:r>
      <w:r>
        <w:rPr>
          <w:rFonts w:hint="eastAsia" w:ascii="Calibri (正文)" w:hAnsi="Calibri (正文)" w:eastAsia="仿宋_GB2312" w:cs="Calibri (正文)"/>
          <w:color w:val="auto"/>
          <w:sz w:val="32"/>
          <w:szCs w:val="32"/>
        </w:rPr>
        <w:t>招商引资活动</w:t>
      </w:r>
      <w:r>
        <w:rPr>
          <w:rFonts w:hint="eastAsia" w:ascii="Calibri (正文)" w:hAnsi="Calibri (正文)" w:eastAsia="仿宋_GB2312" w:cs="Calibri (正文)"/>
          <w:color w:val="auto"/>
          <w:sz w:val="32"/>
          <w:szCs w:val="32"/>
          <w:lang w:eastAsia="zh-CN"/>
        </w:rPr>
        <w:t>、博览会等</w:t>
      </w:r>
      <w:r>
        <w:rPr>
          <w:rFonts w:ascii="Times New Roman" w:hAnsi="Times New Roman" w:eastAsia="仿宋_GB2312" w:cs="Times New Roman"/>
          <w:sz w:val="32"/>
          <w:szCs w:val="32"/>
        </w:rPr>
        <w:t>；开支培训费</w:t>
      </w:r>
      <w:r>
        <w:rPr>
          <w:rFonts w:hint="default" w:ascii="Times New Roman" w:hAnsi="Times New Roman" w:eastAsia="仿宋_GB2312" w:cs="Times New Roman"/>
          <w:color w:val="000000"/>
          <w:kern w:val="0"/>
          <w:sz w:val="32"/>
          <w:szCs w:val="32"/>
          <w:lang w:val="en-US" w:eastAsia="zh-CN" w:bidi="ar"/>
        </w:rPr>
        <w:t>261.03</w:t>
      </w:r>
      <w:r>
        <w:rPr>
          <w:rFonts w:ascii="Times New Roman" w:hAnsi="Times New Roman" w:eastAsia="仿宋_GB2312" w:cs="Times New Roman"/>
          <w:sz w:val="32"/>
          <w:szCs w:val="32"/>
        </w:rPr>
        <w:t>万元，</w:t>
      </w:r>
      <w:r>
        <w:rPr>
          <w:rFonts w:hint="eastAsia" w:ascii="Calibri (正文)" w:hAnsi="Calibri (正文)" w:eastAsia="仿宋_GB2312" w:cs="Calibri (正文)"/>
          <w:sz w:val="32"/>
          <w:szCs w:val="32"/>
        </w:rPr>
        <w:t>用于开展</w:t>
      </w:r>
      <w:r>
        <w:rPr>
          <w:rFonts w:hint="eastAsia" w:ascii="Calibri (正文)" w:hAnsi="Calibri (正文)" w:eastAsia="仿宋_GB2312" w:cs="Calibri (正文)"/>
          <w:color w:val="auto"/>
          <w:sz w:val="32"/>
          <w:szCs w:val="32"/>
        </w:rPr>
        <w:t>外贸业务、商务业务</w:t>
      </w:r>
      <w:r>
        <w:rPr>
          <w:rFonts w:hint="eastAsia" w:ascii="Calibri (正文)" w:hAnsi="Calibri (正文)" w:eastAsia="仿宋_GB2312" w:cs="Calibri (正文)"/>
          <w:color w:val="auto"/>
          <w:sz w:val="32"/>
          <w:szCs w:val="32"/>
          <w:lang w:eastAsia="zh-CN"/>
        </w:rPr>
        <w:t>、</w:t>
      </w:r>
      <w:r>
        <w:rPr>
          <w:rFonts w:hint="eastAsia" w:ascii="Calibri (正文)" w:hAnsi="Calibri (正文)" w:eastAsia="仿宋_GB2312" w:cs="Calibri (正文)"/>
          <w:color w:val="auto"/>
          <w:sz w:val="32"/>
          <w:szCs w:val="32"/>
        </w:rPr>
        <w:t>服务贸易业务</w:t>
      </w:r>
      <w:r>
        <w:rPr>
          <w:rFonts w:hint="eastAsia" w:ascii="Calibri (正文)" w:hAnsi="Calibri (正文)" w:eastAsia="仿宋_GB2312" w:cs="Calibri (正文)"/>
          <w:sz w:val="32"/>
          <w:szCs w:val="32"/>
        </w:rPr>
        <w:t>培训，内容为</w:t>
      </w:r>
      <w:r>
        <w:rPr>
          <w:rFonts w:hint="eastAsia" w:ascii="Calibri (正文)" w:hAnsi="Calibri (正文)" w:eastAsia="仿宋_GB2312" w:cs="Calibri (正文)"/>
          <w:color w:val="auto"/>
          <w:sz w:val="32"/>
          <w:szCs w:val="32"/>
        </w:rPr>
        <w:t>外贸业务政策解读、招商引资政策解读、自贸</w:t>
      </w:r>
      <w:r>
        <w:rPr>
          <w:rFonts w:hint="eastAsia" w:ascii="Calibri (正文)" w:hAnsi="Calibri (正文)" w:eastAsia="仿宋_GB2312" w:cs="Calibri (正文)"/>
          <w:color w:val="auto"/>
          <w:sz w:val="32"/>
          <w:szCs w:val="32"/>
          <w:lang w:eastAsia="zh-CN"/>
        </w:rPr>
        <w:t>政策</w:t>
      </w:r>
      <w:r>
        <w:rPr>
          <w:rFonts w:hint="eastAsia" w:ascii="Calibri (正文)" w:hAnsi="Calibri (正文)" w:eastAsia="仿宋_GB2312" w:cs="Calibri (正文)"/>
          <w:color w:val="auto"/>
          <w:sz w:val="32"/>
          <w:szCs w:val="32"/>
        </w:rPr>
        <w:t>培训、全省服务贸易业务</w:t>
      </w:r>
      <w:r>
        <w:rPr>
          <w:rFonts w:hint="eastAsia" w:ascii="Calibri (正文)" w:hAnsi="Calibri (正文)" w:eastAsia="仿宋_GB2312" w:cs="Calibri (正文)"/>
          <w:color w:val="auto"/>
          <w:sz w:val="32"/>
          <w:szCs w:val="32"/>
          <w:lang w:eastAsia="zh-CN"/>
        </w:rPr>
        <w:t>培训、商务系统外经贸高质量发展培训等</w:t>
      </w:r>
      <w:r>
        <w:rPr>
          <w:rFonts w:hint="eastAsia" w:ascii="Calibri (正文)" w:hAnsi="Calibri (正文)" w:eastAsia="仿宋_GB2312" w:cs="Calibri (正文)"/>
          <w:sz w:val="32"/>
          <w:szCs w:val="32"/>
        </w:rPr>
        <w:t>；</w:t>
      </w:r>
      <w:r>
        <w:rPr>
          <w:rFonts w:ascii="Times New Roman" w:hAnsi="Times New Roman" w:eastAsia="仿宋_GB2312" w:cs="Times New Roman"/>
          <w:sz w:val="32"/>
          <w:szCs w:val="32"/>
        </w:rPr>
        <w:t>2024年</w:t>
      </w:r>
      <w:r>
        <w:rPr>
          <w:rFonts w:hint="eastAsia" w:ascii="Calibri (正文)" w:hAnsi="Calibri (正文)" w:eastAsia="仿宋_GB2312" w:cs="Calibri (正文)"/>
          <w:color w:val="auto"/>
          <w:sz w:val="32"/>
          <w:szCs w:val="32"/>
        </w:rPr>
        <w:t>我厅未举办节、晚会、论坛、赛事活动。</w:t>
      </w:r>
    </w:p>
    <w:p>
      <w:pPr>
        <w:pStyle w:val="16"/>
        <w:overflowPunct w:val="0"/>
        <w:autoSpaceDE/>
        <w:autoSpaceDN/>
        <w:spacing w:line="600" w:lineRule="exact"/>
        <w:ind w:firstLine="640" w:firstLineChars="200"/>
        <w:jc w:val="both"/>
        <w:outlineLvl w:val="0"/>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keepNext w:val="0"/>
        <w:keepLines w:val="0"/>
        <w:widowControl w:val="0"/>
        <w:suppressLineNumbers w:val="0"/>
        <w:overflowPunct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楷体" w:cs="Times New Roman"/>
          <w:b/>
          <w:bCs/>
          <w:i/>
          <w:iCs w:val="0"/>
          <w:color w:val="000000"/>
          <w:kern w:val="0"/>
          <w:sz w:val="32"/>
          <w:szCs w:val="32"/>
          <w:highlight w:val="none"/>
          <w:lang w:val="en-US"/>
        </w:rPr>
      </w:pPr>
      <w:r>
        <w:rPr>
          <w:rFonts w:hint="eastAsia" w:ascii="仿宋_GB2312" w:hAnsi="Times New Roman" w:eastAsia="仿宋_GB2312" w:cs="Times New Roman"/>
          <w:color w:val="000000"/>
          <w:kern w:val="0"/>
          <w:sz w:val="32"/>
          <w:szCs w:val="32"/>
          <w:lang w:val="en-US" w:eastAsia="zh-CN" w:bidi="ar"/>
        </w:rPr>
        <w:t>本部门</w:t>
      </w:r>
      <w:r>
        <w:rPr>
          <w:rFonts w:hint="default" w:ascii="Times New Roman" w:hAnsi="Times New Roman" w:eastAsia="仿宋_GB2312" w:cs="Times New Roman"/>
          <w:color w:val="000000"/>
          <w:kern w:val="0"/>
          <w:sz w:val="32"/>
          <w:szCs w:val="32"/>
          <w:lang w:val="en-US" w:eastAsia="zh-CN" w:bidi="ar"/>
        </w:rPr>
        <w:t>2024</w:t>
      </w:r>
      <w:r>
        <w:rPr>
          <w:rFonts w:hint="eastAsia" w:ascii="仿宋_GB2312" w:hAnsi="Times New Roman" w:eastAsia="仿宋_GB2312" w:cs="Times New Roman"/>
          <w:color w:val="000000"/>
          <w:kern w:val="0"/>
          <w:sz w:val="32"/>
          <w:szCs w:val="32"/>
          <w:lang w:val="en-US" w:eastAsia="zh-CN" w:bidi="ar"/>
        </w:rPr>
        <w:t>年度政府采购支出总额</w:t>
      </w:r>
      <w:r>
        <w:rPr>
          <w:rFonts w:hint="default" w:ascii="Times New Roman" w:hAnsi="Times New Roman" w:eastAsia="仿宋_GB2312" w:cs="Times New Roman"/>
          <w:color w:val="000000"/>
          <w:kern w:val="0"/>
          <w:sz w:val="32"/>
          <w:szCs w:val="32"/>
          <w:lang w:val="en-US" w:eastAsia="zh-CN" w:bidi="ar"/>
        </w:rPr>
        <w:t>5,825.95</w:t>
      </w:r>
      <w:r>
        <w:rPr>
          <w:rFonts w:hint="eastAsia" w:ascii="仿宋_GB2312" w:hAnsi="Times New Roman" w:eastAsia="仿宋_GB2312" w:cs="Times New Roman"/>
          <w:color w:val="000000"/>
          <w:kern w:val="0"/>
          <w:sz w:val="32"/>
          <w:szCs w:val="32"/>
          <w:lang w:val="en-US" w:eastAsia="zh-CN" w:bidi="ar"/>
        </w:rPr>
        <w:t>万元，其中：政府采购货物支出</w:t>
      </w:r>
      <w:r>
        <w:rPr>
          <w:rFonts w:hint="default" w:ascii="Times New Roman" w:hAnsi="Times New Roman" w:eastAsia="仿宋_GB2312" w:cs="Times New Roman"/>
          <w:color w:val="000000"/>
          <w:kern w:val="0"/>
          <w:sz w:val="32"/>
          <w:szCs w:val="32"/>
          <w:lang w:val="en-US" w:eastAsia="zh-CN" w:bidi="ar"/>
        </w:rPr>
        <w:t>16.19</w:t>
      </w:r>
      <w:r>
        <w:rPr>
          <w:rFonts w:hint="eastAsia" w:ascii="仿宋_GB2312" w:hAnsi="Times New Roman" w:eastAsia="仿宋_GB2312" w:cs="Times New Roman"/>
          <w:color w:val="000000"/>
          <w:kern w:val="0"/>
          <w:sz w:val="32"/>
          <w:szCs w:val="32"/>
          <w:lang w:val="en-US" w:eastAsia="zh-CN" w:bidi="ar"/>
        </w:rPr>
        <w:t>万元、政府采购工程支出</w:t>
      </w:r>
      <w:r>
        <w:rPr>
          <w:rFonts w:hint="default" w:ascii="Times New Roman" w:hAnsi="Times New Roman" w:eastAsia="仿宋_GB2312" w:cs="Times New Roman"/>
          <w:color w:val="000000"/>
          <w:kern w:val="0"/>
          <w:sz w:val="32"/>
          <w:szCs w:val="32"/>
          <w:lang w:val="en-US" w:eastAsia="zh-CN" w:bidi="ar"/>
        </w:rPr>
        <w:t>0</w:t>
      </w:r>
      <w:r>
        <w:rPr>
          <w:rFonts w:hint="eastAsia" w:ascii="仿宋_GB2312" w:hAnsi="Times New Roman" w:eastAsia="仿宋_GB2312" w:cs="Times New Roman"/>
          <w:color w:val="000000"/>
          <w:kern w:val="0"/>
          <w:sz w:val="32"/>
          <w:szCs w:val="32"/>
          <w:lang w:val="en-US" w:eastAsia="zh-CN" w:bidi="ar"/>
        </w:rPr>
        <w:t>万元、政府采购服务支出</w:t>
      </w:r>
      <w:r>
        <w:rPr>
          <w:rFonts w:hint="default" w:ascii="Times New Roman" w:hAnsi="Times New Roman" w:eastAsia="仿宋_GB2312" w:cs="Times New Roman"/>
          <w:color w:val="000000"/>
          <w:kern w:val="0"/>
          <w:sz w:val="32"/>
          <w:szCs w:val="32"/>
          <w:lang w:val="en-US" w:eastAsia="zh-CN" w:bidi="ar"/>
        </w:rPr>
        <w:t>5,809.76</w:t>
      </w:r>
      <w:r>
        <w:rPr>
          <w:rFonts w:hint="eastAsia" w:ascii="仿宋_GB2312" w:hAnsi="Times New Roman" w:eastAsia="仿宋_GB2312" w:cs="Times New Roman"/>
          <w:color w:val="000000"/>
          <w:kern w:val="0"/>
          <w:sz w:val="32"/>
          <w:szCs w:val="32"/>
          <w:lang w:val="en-US" w:eastAsia="zh-CN" w:bidi="ar"/>
        </w:rPr>
        <w:t>万元。授予中小企业合同金额</w:t>
      </w:r>
      <w:r>
        <w:rPr>
          <w:rFonts w:hint="default" w:ascii="Times New Roman" w:hAnsi="Times New Roman" w:eastAsia="仿宋_GB2312" w:cs="Times New Roman"/>
          <w:color w:val="000000"/>
          <w:kern w:val="0"/>
          <w:sz w:val="32"/>
          <w:szCs w:val="32"/>
          <w:lang w:val="en-US" w:eastAsia="zh-CN" w:bidi="ar"/>
        </w:rPr>
        <w:t>5,610.45</w:t>
      </w:r>
      <w:r>
        <w:rPr>
          <w:rFonts w:hint="eastAsia" w:ascii="仿宋_GB2312" w:hAnsi="Times New Roman" w:eastAsia="仿宋_GB2312" w:cs="Times New Roman"/>
          <w:color w:val="000000"/>
          <w:kern w:val="0"/>
          <w:sz w:val="32"/>
          <w:szCs w:val="32"/>
          <w:lang w:val="en-US" w:eastAsia="zh-CN" w:bidi="ar"/>
        </w:rPr>
        <w:t>万元，占政府采购支出总额的</w:t>
      </w:r>
      <w:r>
        <w:rPr>
          <w:rFonts w:hint="default" w:ascii="Times New Roman" w:hAnsi="Times New Roman" w:eastAsia="仿宋_GB2312" w:cs="Times New Roman"/>
          <w:color w:val="000000"/>
          <w:kern w:val="0"/>
          <w:sz w:val="32"/>
          <w:szCs w:val="32"/>
          <w:lang w:val="en-US" w:eastAsia="zh-CN" w:bidi="ar"/>
        </w:rPr>
        <w:t>96.30%</w:t>
      </w:r>
      <w:r>
        <w:rPr>
          <w:rFonts w:hint="eastAsia" w:ascii="仿宋_GB2312" w:hAnsi="Times New Roman" w:eastAsia="仿宋_GB2312" w:cs="Times New Roman"/>
          <w:color w:val="000000"/>
          <w:kern w:val="0"/>
          <w:sz w:val="32"/>
          <w:szCs w:val="32"/>
          <w:lang w:val="en-US" w:eastAsia="zh-CN" w:bidi="ar"/>
        </w:rPr>
        <w:t>，其中：授予小微企业合同金额</w:t>
      </w:r>
      <w:r>
        <w:rPr>
          <w:rFonts w:hint="default" w:ascii="Times New Roman" w:hAnsi="Times New Roman" w:eastAsia="仿宋_GB2312" w:cs="Times New Roman"/>
          <w:color w:val="000000"/>
          <w:kern w:val="0"/>
          <w:sz w:val="32"/>
          <w:szCs w:val="32"/>
          <w:lang w:val="en-US" w:eastAsia="zh-CN" w:bidi="ar"/>
        </w:rPr>
        <w:t>5,396.4</w:t>
      </w:r>
      <w:r>
        <w:rPr>
          <w:rFonts w:hint="default" w:ascii="Times New Roman" w:hAnsi="Times New Roman" w:eastAsia="仿宋_GB2312" w:cs="Times New Roman"/>
          <w:color w:val="000000"/>
          <w:kern w:val="0"/>
          <w:sz w:val="32"/>
          <w:szCs w:val="32"/>
          <w:highlight w:val="none"/>
          <w:lang w:val="en-US" w:eastAsia="zh-CN" w:bidi="ar"/>
        </w:rPr>
        <w:t>5</w:t>
      </w:r>
      <w:r>
        <w:rPr>
          <w:rFonts w:hint="eastAsia" w:ascii="仿宋_GB2312" w:hAnsi="Times New Roman" w:eastAsia="仿宋_GB2312" w:cs="Times New Roman"/>
          <w:color w:val="000000"/>
          <w:kern w:val="0"/>
          <w:sz w:val="32"/>
          <w:szCs w:val="32"/>
          <w:highlight w:val="none"/>
          <w:lang w:val="en-US" w:eastAsia="zh-CN" w:bidi="ar"/>
        </w:rPr>
        <w:t>万元，占授予中小企业合同金额的</w:t>
      </w:r>
      <w:r>
        <w:rPr>
          <w:rFonts w:hint="default" w:ascii="Times New Roman" w:hAnsi="Times New Roman" w:eastAsia="仿宋_GB2312" w:cs="Times New Roman"/>
          <w:color w:val="000000"/>
          <w:kern w:val="0"/>
          <w:sz w:val="32"/>
          <w:szCs w:val="32"/>
          <w:highlight w:val="none"/>
          <w:lang w:val="en-US" w:eastAsia="zh-CN" w:bidi="ar"/>
        </w:rPr>
        <w:t>96.19%</w:t>
      </w:r>
      <w:r>
        <w:rPr>
          <w:rFonts w:hint="eastAsia" w:ascii="仿宋_GB2312" w:hAnsi="Times New Roman" w:eastAsia="仿宋_GB2312" w:cs="Times New Roman"/>
          <w:color w:val="000000"/>
          <w:kern w:val="0"/>
          <w:sz w:val="32"/>
          <w:szCs w:val="32"/>
          <w:highlight w:val="none"/>
          <w:lang w:val="en-US" w:eastAsia="zh-CN" w:bidi="ar"/>
        </w:rPr>
        <w:t>。货物采购授予中小企业合同金额占货物支出金额的</w:t>
      </w:r>
      <w:r>
        <w:rPr>
          <w:rFonts w:hint="default" w:ascii="Times New Roman" w:hAnsi="Times New Roman" w:eastAsia="仿宋_GB2312" w:cs="Times New Roman"/>
          <w:color w:val="000000"/>
          <w:kern w:val="0"/>
          <w:sz w:val="32"/>
          <w:szCs w:val="32"/>
          <w:highlight w:val="none"/>
          <w:lang w:val="en-US" w:eastAsia="zh-CN" w:bidi="ar"/>
        </w:rPr>
        <w:t>100%</w:t>
      </w:r>
      <w:r>
        <w:rPr>
          <w:rFonts w:hint="eastAsia" w:ascii="仿宋_GB2312" w:hAnsi="Times New Roman" w:eastAsia="仿宋_GB2312" w:cs="Times New Roman"/>
          <w:color w:val="000000"/>
          <w:kern w:val="0"/>
          <w:sz w:val="32"/>
          <w:szCs w:val="32"/>
          <w:highlight w:val="none"/>
          <w:lang w:val="en-US" w:eastAsia="zh-CN" w:bidi="ar"/>
        </w:rPr>
        <w:t>，无工程采购，服务采购授予中小企业合同金额占服务支出金额的</w:t>
      </w:r>
      <w:r>
        <w:rPr>
          <w:rFonts w:hint="default" w:ascii="Times New Roman" w:hAnsi="Times New Roman" w:eastAsia="仿宋_GB2312" w:cs="Times New Roman"/>
          <w:color w:val="000000"/>
          <w:kern w:val="0"/>
          <w:sz w:val="32"/>
          <w:szCs w:val="32"/>
          <w:highlight w:val="none"/>
          <w:lang w:val="en-US" w:eastAsia="zh-CN" w:bidi="ar"/>
        </w:rPr>
        <w:t>96.30%</w:t>
      </w:r>
      <w:r>
        <w:rPr>
          <w:rFonts w:hint="eastAsia" w:ascii="仿宋_GB2312" w:hAnsi="Times New Roman" w:eastAsia="仿宋_GB2312" w:cs="Times New Roman"/>
          <w:color w:val="000000"/>
          <w:kern w:val="0"/>
          <w:sz w:val="32"/>
          <w:szCs w:val="32"/>
          <w:highlight w:val="none"/>
          <w:lang w:val="en-US" w:eastAsia="zh-CN" w:bidi="ar"/>
        </w:rPr>
        <w:t>。</w:t>
      </w:r>
    </w:p>
    <w:p>
      <w:pPr>
        <w:pStyle w:val="16"/>
        <w:overflowPunct w:val="0"/>
        <w:autoSpaceDE/>
        <w:autoSpaceDN/>
        <w:spacing w:line="600" w:lineRule="exact"/>
        <w:ind w:firstLine="640" w:firstLineChars="200"/>
        <w:jc w:val="both"/>
        <w:outlineLvl w:val="0"/>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6"/>
        <w:overflowPunct w:val="0"/>
        <w:autoSpaceDE/>
        <w:autoSpaceDN/>
        <w:spacing w:line="600" w:lineRule="exact"/>
        <w:ind w:firstLine="640" w:firstLineChars="200"/>
        <w:jc w:val="both"/>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截至2024年12月31日，我厅共有车辆17辆，其中，副部（省）级及以上领导用车0辆、主要负责人用车2辆、机要通信用车1辆、应急保障用车2辆、执法执勤用车1辆、特种专业技术用车0辆、离退休干部服务用车10辆、其他用车1辆，其他用车主要是接待用车；单位价值100万元以上设备（不含车辆）6台（套）。</w:t>
      </w:r>
    </w:p>
    <w:p>
      <w:pPr>
        <w:pStyle w:val="16"/>
        <w:overflowPunct w:val="0"/>
        <w:autoSpaceDE/>
        <w:autoSpaceDN/>
        <w:spacing w:line="600" w:lineRule="exact"/>
        <w:ind w:firstLine="640" w:firstLineChars="200"/>
        <w:jc w:val="both"/>
        <w:outlineLvl w:val="0"/>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eastAsia="仿宋_GB2312"/>
          <w:sz w:val="32"/>
          <w:szCs w:val="32"/>
        </w:rPr>
        <w:t>根据《湖南省财政厅关于开展</w:t>
      </w:r>
      <w:r>
        <w:rPr>
          <w:rFonts w:hint="eastAsia" w:ascii="Times New Roman" w:hAnsi="Times New Roman" w:eastAsia="仿宋_GB2312" w:cs="Times New Roman"/>
          <w:kern w:val="0"/>
          <w:sz w:val="32"/>
          <w:szCs w:val="32"/>
          <w:lang w:val="en-US" w:eastAsia="zh-CN"/>
        </w:rPr>
        <w:t>2024</w:t>
      </w:r>
      <w:r>
        <w:rPr>
          <w:rFonts w:eastAsia="仿宋_GB2312"/>
          <w:sz w:val="32"/>
          <w:szCs w:val="32"/>
        </w:rPr>
        <w:t>年度省级预算部门绩效自评和部门评价的通知》（湘财绩〔</w:t>
      </w:r>
      <w:r>
        <w:rPr>
          <w:rFonts w:hint="eastAsia" w:ascii="Times New Roman" w:hAnsi="Times New Roman" w:eastAsia="仿宋_GB2312" w:cs="Times New Roman"/>
          <w:kern w:val="0"/>
          <w:sz w:val="32"/>
          <w:szCs w:val="32"/>
          <w:lang w:val="en-US" w:eastAsia="zh-CN"/>
        </w:rPr>
        <w:t>2025〕2</w:t>
      </w:r>
      <w:r>
        <w:rPr>
          <w:rFonts w:eastAsia="仿宋_GB2312"/>
          <w:sz w:val="32"/>
          <w:szCs w:val="32"/>
        </w:rPr>
        <w:t>号）要求，我厅成立了绩效自评小组，制定并下发了《湖南省商务厅关于开展</w:t>
      </w:r>
      <w:r>
        <w:rPr>
          <w:rFonts w:hint="eastAsia" w:ascii="Times New Roman" w:hAnsi="Times New Roman" w:eastAsia="仿宋_GB2312" w:cs="Times New Roman"/>
          <w:kern w:val="0"/>
          <w:sz w:val="32"/>
          <w:szCs w:val="32"/>
          <w:lang w:val="en-US" w:eastAsia="zh-CN"/>
        </w:rPr>
        <w:t>2024</w:t>
      </w:r>
      <w:r>
        <w:rPr>
          <w:rFonts w:eastAsia="仿宋_GB2312"/>
          <w:sz w:val="32"/>
          <w:szCs w:val="32"/>
        </w:rPr>
        <w:t>年度部门整体支出绩效自评工作的通知》，对</w:t>
      </w:r>
      <w:r>
        <w:rPr>
          <w:rFonts w:hint="eastAsia" w:ascii="Times New Roman" w:hAnsi="Times New Roman" w:eastAsia="仿宋_GB2312" w:cs="Times New Roman"/>
          <w:kern w:val="0"/>
          <w:sz w:val="32"/>
          <w:szCs w:val="32"/>
          <w:lang w:val="en-US" w:eastAsia="zh-CN"/>
        </w:rPr>
        <w:t>2024</w:t>
      </w:r>
      <w:r>
        <w:rPr>
          <w:rFonts w:eastAsia="仿宋_GB2312"/>
          <w:sz w:val="32"/>
          <w:szCs w:val="32"/>
        </w:rPr>
        <w:t>年度省商务厅部门整体支出进行了绩效自评</w:t>
      </w:r>
      <w:r>
        <w:rPr>
          <w:rFonts w:ascii="Times New Roman" w:hAnsi="Times New Roman" w:eastAsia="仿宋_GB2312" w:cs="Times New Roman"/>
          <w:kern w:val="0"/>
          <w:sz w:val="32"/>
          <w:szCs w:val="32"/>
        </w:rPr>
        <w:t>，涉及项目</w:t>
      </w:r>
      <w:r>
        <w:rPr>
          <w:rFonts w:hint="eastAsia" w:ascii="Times New Roman" w:hAnsi="Times New Roman" w:eastAsia="仿宋_GB2312" w:cs="Times New Roman"/>
          <w:kern w:val="0"/>
          <w:sz w:val="32"/>
          <w:szCs w:val="32"/>
          <w:lang w:val="en-US" w:eastAsia="zh-CN"/>
        </w:rPr>
        <w:t>35</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17,270.56</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17,270.56</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w:t>
      </w:r>
      <w:r>
        <w:rPr>
          <w:rFonts w:hint="eastAsia" w:ascii="Times New Roman" w:hAnsi="Times New Roman" w:eastAsia="仿宋_GB2312" w:cs="Times New Roman"/>
          <w:kern w:val="0"/>
          <w:sz w:val="32"/>
          <w:szCs w:val="32"/>
        </w:rPr>
        <w:t>省财政厅批复我厅</w:t>
      </w:r>
      <w:r>
        <w:rPr>
          <w:rFonts w:hint="eastAsia" w:ascii="Times New Roman" w:hAnsi="Times New Roman" w:eastAsia="仿宋_GB2312" w:cs="Times New Roman"/>
          <w:kern w:val="0"/>
          <w:sz w:val="32"/>
          <w:szCs w:val="32"/>
          <w:lang w:eastAsia="zh-CN"/>
        </w:rPr>
        <w:t>年初</w:t>
      </w:r>
      <w:r>
        <w:rPr>
          <w:rFonts w:hint="eastAsia" w:ascii="Times New Roman" w:hAnsi="Times New Roman" w:eastAsia="仿宋_GB2312" w:cs="Times New Roman"/>
          <w:kern w:val="0"/>
          <w:sz w:val="32"/>
          <w:szCs w:val="32"/>
        </w:rPr>
        <w:t>预算17,270.56万元，</w:t>
      </w:r>
      <w:r>
        <w:rPr>
          <w:rFonts w:hint="eastAsia" w:ascii="Times New Roman" w:hAnsi="Times New Roman" w:eastAsia="仿宋_GB2312" w:cs="Times New Roman"/>
          <w:kern w:val="0"/>
          <w:sz w:val="32"/>
          <w:szCs w:val="32"/>
          <w:lang w:eastAsia="zh-CN"/>
        </w:rPr>
        <w:t>全年</w:t>
      </w:r>
      <w:r>
        <w:rPr>
          <w:rFonts w:hint="eastAsia" w:ascii="Times New Roman" w:hAnsi="Times New Roman" w:eastAsia="仿宋_GB2312" w:cs="Times New Roman"/>
          <w:kern w:val="0"/>
          <w:sz w:val="32"/>
          <w:szCs w:val="32"/>
        </w:rPr>
        <w:t>预算29,270.30万元</w:t>
      </w:r>
      <w:r>
        <w:rPr>
          <w:rFonts w:ascii="Times New Roman" w:hAnsi="Times New Roman" w:eastAsia="仿宋_GB2312" w:cs="Times New Roman"/>
          <w:sz w:val="32"/>
          <w:szCs w:val="32"/>
        </w:rPr>
        <w:t>，执行数</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308.72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76.22</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97</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良好</w:t>
      </w:r>
      <w:r>
        <w:rPr>
          <w:rFonts w:ascii="Times New Roman" w:hAnsi="Times New Roman" w:eastAsia="仿宋_GB2312" w:cs="Times New Roman"/>
          <w:sz w:val="32"/>
          <w:szCs w:val="32"/>
        </w:rPr>
        <w:t>”。</w:t>
      </w:r>
    </w:p>
    <w:p>
      <w:pPr>
        <w:spacing w:line="580" w:lineRule="exact"/>
        <w:ind w:firstLine="640" w:firstLineChars="200"/>
        <w:rPr>
          <w:rFonts w:eastAsia="仿宋_GB2312"/>
          <w:sz w:val="32"/>
          <w:szCs w:val="32"/>
        </w:rPr>
      </w:pPr>
      <w:r>
        <w:rPr>
          <w:rFonts w:ascii="Times New Roman" w:hAnsi="Times New Roman" w:eastAsia="仿宋_GB2312" w:cs="Times New Roman"/>
          <w:kern w:val="0"/>
          <w:sz w:val="32"/>
          <w:szCs w:val="32"/>
        </w:rPr>
        <w:t>2024年</w:t>
      </w:r>
      <w:r>
        <w:rPr>
          <w:rFonts w:eastAsia="仿宋_GB2312"/>
          <w:sz w:val="32"/>
          <w:szCs w:val="32"/>
        </w:rPr>
        <w:t>是实现“十四五”规划目标任务的关键一年。面对外部压力加大、内部困难增多的复杂严峻形势，我厅坚定拥护“两个确立”，坚决做到“两个维护”，锚定“三高四新”美好蓝图，推动党中央、国务院和省委、省政府决策部署在商务领域落地开花，内陆地区改革开放高地建设取得新成效，全省商务和开放型经济运行总体平稳、稳中有进、质量提升、韧性增强，为经济持续回升向好做出了积极贡献。</w:t>
      </w:r>
    </w:p>
    <w:p>
      <w:pPr>
        <w:pStyle w:val="16"/>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eastAsia="仿宋_GB2312"/>
          <w:sz w:val="32"/>
          <w:szCs w:val="32"/>
        </w:rPr>
        <w:t>一是精打细算执行预算。加强对项目支出的统筹和结余资金的盘活力度。</w:t>
      </w:r>
      <w:r>
        <w:rPr>
          <w:rFonts w:hint="eastAsia" w:eastAsia="仿宋_GB2312"/>
          <w:sz w:val="32"/>
          <w:szCs w:val="32"/>
          <w:lang w:eastAsia="zh-CN"/>
        </w:rPr>
        <w:t>二</w:t>
      </w:r>
      <w:r>
        <w:rPr>
          <w:rFonts w:eastAsia="仿宋_GB2312"/>
          <w:sz w:val="32"/>
          <w:szCs w:val="32"/>
        </w:rPr>
        <w:t>是进一步树立“花钱必问效、无效必问责”意识，强化信息沟通、成果共享。以近年来审计、绩效评价指出的问题为导向，</w:t>
      </w:r>
      <w:r>
        <w:rPr>
          <w:rFonts w:ascii="Times New Roman" w:hAnsi="Times New Roman" w:eastAsia="仿宋_GB2312" w:cs="Times New Roman"/>
          <w:color w:val="000000"/>
          <w:sz w:val="32"/>
          <w:szCs w:val="32"/>
        </w:rPr>
        <w:t>将自评结果与预算调整和项目安排挂钩</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体现奖优罚劣的绩效导向。</w:t>
      </w: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spacing w:line="360" w:lineRule="auto"/>
        <w:jc w:val="center"/>
        <w:rPr>
          <w:rFonts w:ascii="Times New Roman" w:hAnsi="Times New Roman" w:eastAsia="方正小标宋_GBK" w:cs="Times New Roman"/>
          <w:sz w:val="52"/>
          <w:szCs w:val="52"/>
        </w:rPr>
        <w:sectPr>
          <w:pgSz w:w="11906" w:h="16838"/>
          <w:pgMar w:top="1417" w:right="1588" w:bottom="1417" w:left="1588" w:header="851" w:footer="992" w:gutter="0"/>
          <w:cols w:space="425" w:num="1"/>
          <w:docGrid w:type="linesAndChars" w:linePitch="312" w:charSpace="0"/>
        </w:sectPr>
      </w:pPr>
    </w:p>
    <w:p>
      <w:pPr>
        <w:pStyle w:val="16"/>
        <w:spacing w:line="360" w:lineRule="auto"/>
        <w:jc w:val="center"/>
        <w:outlineLvl w:val="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spacing w:line="580" w:lineRule="exact"/>
        <w:ind w:firstLine="640" w:firstLineChars="200"/>
        <w:rPr>
          <w:rFonts w:ascii="Calibri (正文)" w:hAnsi="Calibri (正文)" w:eastAsia="仿宋_GB2312"/>
          <w:color w:val="auto"/>
          <w:sz w:val="32"/>
          <w:szCs w:val="32"/>
        </w:rPr>
      </w:pPr>
      <w:r>
        <w:rPr>
          <w:rFonts w:ascii="Calibri (正文)" w:hAnsi="Calibri (正文)" w:eastAsia="仿宋_GB2312"/>
          <w:color w:val="auto"/>
          <w:sz w:val="32"/>
          <w:szCs w:val="32"/>
        </w:rPr>
        <w:t>1、财政拨款收入：指省级财政当年拨付的资金。</w:t>
      </w:r>
    </w:p>
    <w:p>
      <w:pPr>
        <w:spacing w:line="580" w:lineRule="exact"/>
        <w:rPr>
          <w:rFonts w:ascii="Calibri (正文)" w:hAnsi="Calibri (正文)" w:eastAsia="仿宋_GB2312"/>
          <w:color w:val="auto"/>
          <w:sz w:val="32"/>
          <w:szCs w:val="32"/>
        </w:rPr>
      </w:pPr>
      <w:r>
        <w:rPr>
          <w:rFonts w:ascii="Calibri (正文)" w:hAnsi="Calibri (正文)" w:eastAsia="仿宋_GB2312"/>
          <w:color w:val="auto"/>
          <w:sz w:val="32"/>
          <w:szCs w:val="32"/>
        </w:rPr>
        <w:t>　　2、其他收入：指除“财政拨款收入”以外的收入。主要是上级单位拨款、存款利息收入等。</w:t>
      </w:r>
    </w:p>
    <w:p>
      <w:pPr>
        <w:spacing w:line="580" w:lineRule="exact"/>
        <w:rPr>
          <w:rFonts w:ascii="Calibri (正文)" w:hAnsi="Calibri (正文)" w:eastAsia="仿宋_GB2312"/>
          <w:color w:val="auto"/>
          <w:sz w:val="32"/>
          <w:szCs w:val="32"/>
        </w:rPr>
      </w:pPr>
      <w:r>
        <w:rPr>
          <w:rFonts w:ascii="Calibri (正文)" w:hAnsi="Calibri (正文)" w:eastAsia="仿宋_GB2312"/>
          <w:color w:val="auto"/>
          <w:sz w:val="32"/>
          <w:szCs w:val="32"/>
        </w:rPr>
        <w:t>　　3、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spacing w:line="580" w:lineRule="exact"/>
        <w:rPr>
          <w:rFonts w:ascii="Calibri (正文)" w:hAnsi="Calibri (正文)" w:eastAsia="仿宋_GB2312"/>
          <w:color w:val="auto"/>
          <w:sz w:val="32"/>
          <w:szCs w:val="32"/>
        </w:rPr>
      </w:pPr>
      <w:r>
        <w:rPr>
          <w:rFonts w:ascii="Calibri (正文)" w:hAnsi="Calibri (正文)" w:eastAsia="仿宋_GB2312"/>
          <w:color w:val="auto"/>
          <w:sz w:val="32"/>
          <w:szCs w:val="32"/>
        </w:rPr>
        <w:t>　　4、项目支出：指在基本支出之外为完成特定行政任务和事业发展目标所发生的支出。</w:t>
      </w:r>
    </w:p>
    <w:p>
      <w:pPr>
        <w:spacing w:line="580" w:lineRule="exact"/>
        <w:rPr>
          <w:rFonts w:ascii="Calibri (正文)" w:hAnsi="Calibri (正文)" w:eastAsia="仿宋_GB2312"/>
          <w:color w:val="auto"/>
          <w:sz w:val="32"/>
          <w:szCs w:val="32"/>
        </w:rPr>
      </w:pPr>
      <w:r>
        <w:rPr>
          <w:rFonts w:ascii="Calibri (正文)" w:hAnsi="Calibri (正文)" w:eastAsia="仿宋_GB2312"/>
          <w:color w:val="auto"/>
          <w:sz w:val="32"/>
          <w:szCs w:val="32"/>
        </w:rPr>
        <w:t>　　5、年初结转和结余：指以前年度尚未完成、结转到本年仍按原规定用途继续使用的资金，或项目已完成等产生的结余资金。</w:t>
      </w:r>
    </w:p>
    <w:p>
      <w:pPr>
        <w:spacing w:line="580" w:lineRule="exact"/>
        <w:rPr>
          <w:rFonts w:ascii="Calibri (正文)" w:hAnsi="Calibri (正文)" w:eastAsia="仿宋_GB2312"/>
          <w:color w:val="auto"/>
          <w:sz w:val="32"/>
          <w:szCs w:val="32"/>
        </w:rPr>
      </w:pPr>
      <w:r>
        <w:rPr>
          <w:rFonts w:ascii="Calibri (正文)" w:hAnsi="Calibri (正文)" w:eastAsia="仿宋_GB2312"/>
          <w:color w:val="auto"/>
          <w:sz w:val="32"/>
          <w:szCs w:val="32"/>
        </w:rPr>
        <w:t>　　6、结余分配：指事业单位按照事业单位会计制度的规定从事业收入或经营收入中按规定提取的事业基金和职工福利基金。</w:t>
      </w:r>
    </w:p>
    <w:p>
      <w:pPr>
        <w:spacing w:line="580" w:lineRule="exact"/>
        <w:rPr>
          <w:rFonts w:ascii="Calibri (正文)" w:hAnsi="Calibri (正文)" w:eastAsia="仿宋_GB2312"/>
          <w:color w:val="auto"/>
          <w:sz w:val="32"/>
          <w:szCs w:val="32"/>
        </w:rPr>
      </w:pPr>
      <w:r>
        <w:rPr>
          <w:rFonts w:ascii="Calibri (正文)" w:hAnsi="Calibri (正文)" w:eastAsia="仿宋_GB2312"/>
          <w:color w:val="auto"/>
          <w:sz w:val="32"/>
          <w:szCs w:val="32"/>
        </w:rPr>
        <w:t>　　7、年末结转和结余：指单位按有关规定结转到下年或以后年度继续使用的资金。</w:t>
      </w:r>
    </w:p>
    <w:p>
      <w:pPr>
        <w:spacing w:line="580" w:lineRule="exact"/>
        <w:ind w:firstLine="648"/>
        <w:rPr>
          <w:rFonts w:ascii="Calibri (正文)" w:hAnsi="Calibri (正文)" w:eastAsia="仿宋_GB2312"/>
          <w:color w:val="auto"/>
          <w:sz w:val="32"/>
          <w:szCs w:val="32"/>
        </w:rPr>
      </w:pPr>
      <w:r>
        <w:rPr>
          <w:rFonts w:ascii="Calibri (正文)" w:hAnsi="Calibri (正文)" w:eastAsia="仿宋_GB2312"/>
          <w:color w:val="auto"/>
          <w:sz w:val="32"/>
          <w:szCs w:val="32"/>
        </w:rPr>
        <w:t>8、“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spacing w:line="580" w:lineRule="exact"/>
        <w:ind w:firstLine="640" w:firstLineChars="200"/>
        <w:rPr>
          <w:rFonts w:ascii="Calibri (正文)" w:hAnsi="Calibri (正文)" w:eastAsia="仿宋_GB2312"/>
          <w:color w:val="auto"/>
          <w:sz w:val="32"/>
          <w:szCs w:val="32"/>
        </w:rPr>
      </w:pPr>
      <w:r>
        <w:rPr>
          <w:rFonts w:ascii="Calibri (正文)" w:hAnsi="Calibri (正文)" w:eastAsia="仿宋_GB2312"/>
          <w:color w:val="auto"/>
          <w:sz w:val="32"/>
          <w:szCs w:val="32"/>
        </w:rPr>
        <w:t>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spacing w:line="360" w:lineRule="auto"/>
        <w:jc w:val="center"/>
        <w:rPr>
          <w:rFonts w:ascii="Times New Roman" w:hAnsi="Times New Roman" w:eastAsia="方正小标宋_GBK" w:cs="Times New Roman"/>
          <w:sz w:val="52"/>
          <w:szCs w:val="52"/>
        </w:rPr>
        <w:sectPr>
          <w:pgSz w:w="11906" w:h="16838"/>
          <w:pgMar w:top="1417" w:right="1588" w:bottom="1417" w:left="1588" w:header="851" w:footer="992" w:gutter="0"/>
          <w:cols w:space="425" w:num="1"/>
          <w:docGrid w:type="linesAndChars" w:linePitch="312" w:charSpace="0"/>
        </w:sectPr>
      </w:pPr>
    </w:p>
    <w:p>
      <w:pPr>
        <w:pStyle w:val="16"/>
        <w:spacing w:line="360" w:lineRule="auto"/>
        <w:jc w:val="center"/>
        <w:outlineLvl w:val="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pStyle w:val="2"/>
      </w:pPr>
    </w:p>
    <w:p>
      <w:pPr>
        <w:spacing w:line="560" w:lineRule="exact"/>
        <w:jc w:val="center"/>
        <w:rPr>
          <w:rFonts w:eastAsia="方正小标宋简体"/>
          <w:sz w:val="40"/>
          <w:szCs w:val="40"/>
        </w:rPr>
      </w:pPr>
      <w:r>
        <w:rPr>
          <w:rFonts w:eastAsia="方正小标宋简体"/>
          <w:sz w:val="40"/>
          <w:szCs w:val="40"/>
        </w:rPr>
        <w:t>湖南省商务厅2024年部门整体支出绩效自评报告</w:t>
      </w:r>
    </w:p>
    <w:p>
      <w:pPr>
        <w:spacing w:line="560" w:lineRule="exact"/>
        <w:ind w:firstLine="880" w:firstLineChars="200"/>
        <w:rPr>
          <w:rFonts w:eastAsia="方正小标宋_GBK"/>
          <w:sz w:val="44"/>
          <w:szCs w:val="44"/>
        </w:rPr>
      </w:pPr>
    </w:p>
    <w:p>
      <w:pPr>
        <w:spacing w:line="580" w:lineRule="exact"/>
        <w:ind w:firstLine="640" w:firstLineChars="200"/>
        <w:rPr>
          <w:rFonts w:eastAsia="仿宋_GB2312"/>
          <w:sz w:val="32"/>
          <w:szCs w:val="32"/>
        </w:rPr>
      </w:pPr>
      <w:r>
        <w:rPr>
          <w:rFonts w:eastAsia="仿宋_GB2312"/>
          <w:sz w:val="32"/>
          <w:szCs w:val="32"/>
        </w:rPr>
        <w:t>为贯彻落实党中央、国务院和省委、省政府关于全面实施预算绩效管理决策部署，进一步规范财政资金管理、强化绩效意识和支出责任，建立单位自评、部门评价和财政评价三层架构的绩效评价体系，推动各部门、单位预算绩效管理整体水平提高。根据《湖南省财政厅关于开展2024年度省级预算部门绩效自评和部门评价的通知》（湘财绩〔2025〕2号）要求，我厅成立了绩效自评小组，制定并下发了《湖南省商务厅关于开展2024年度部门整体支出绩效自评工作的通知》，对2024年度省商务厅部门整体支出进行了绩效自评。现将有关情况报告如下：</w:t>
      </w:r>
    </w:p>
    <w:p>
      <w:pPr>
        <w:spacing w:line="580" w:lineRule="exact"/>
        <w:ind w:firstLine="640" w:firstLineChars="200"/>
        <w:rPr>
          <w:rFonts w:eastAsia="黑体"/>
          <w:sz w:val="32"/>
          <w:szCs w:val="32"/>
        </w:rPr>
      </w:pPr>
      <w:r>
        <w:rPr>
          <w:rFonts w:hAnsi="黑体" w:eastAsia="黑体"/>
          <w:sz w:val="32"/>
          <w:szCs w:val="32"/>
        </w:rPr>
        <w:t>一、基本情况</w:t>
      </w:r>
    </w:p>
    <w:p>
      <w:pPr>
        <w:spacing w:line="580" w:lineRule="exact"/>
        <w:ind w:firstLine="640" w:firstLineChars="200"/>
        <w:rPr>
          <w:rFonts w:eastAsia="楷体_GB2312"/>
          <w:bCs/>
          <w:sz w:val="32"/>
          <w:szCs w:val="32"/>
        </w:rPr>
      </w:pPr>
      <w:r>
        <w:rPr>
          <w:rFonts w:eastAsia="楷体_GB2312"/>
          <w:bCs/>
          <w:sz w:val="32"/>
          <w:szCs w:val="32"/>
        </w:rPr>
        <w:t>（一）职能职责</w:t>
      </w:r>
    </w:p>
    <w:p>
      <w:pPr>
        <w:spacing w:line="580" w:lineRule="exact"/>
        <w:ind w:firstLine="640" w:firstLineChars="200"/>
        <w:rPr>
          <w:rFonts w:eastAsia="仿宋_GB2312"/>
          <w:sz w:val="32"/>
          <w:szCs w:val="32"/>
        </w:rPr>
      </w:pPr>
      <w:r>
        <w:rPr>
          <w:rFonts w:eastAsia="仿宋_GB2312"/>
          <w:sz w:val="32"/>
          <w:szCs w:val="32"/>
        </w:rPr>
        <w:t>湖南省商务厅是主管全省商务工作的省政府组成单位，其主要职责是：</w:t>
      </w:r>
    </w:p>
    <w:p>
      <w:pPr>
        <w:spacing w:line="580" w:lineRule="exact"/>
        <w:ind w:firstLine="640" w:firstLineChars="200"/>
        <w:rPr>
          <w:rFonts w:eastAsia="仿宋_GB2312"/>
          <w:sz w:val="32"/>
          <w:szCs w:val="32"/>
        </w:rPr>
      </w:pPr>
      <w:r>
        <w:rPr>
          <w:rFonts w:eastAsia="仿宋_GB2312"/>
          <w:sz w:val="32"/>
          <w:szCs w:val="32"/>
        </w:rPr>
        <w:t>1.贯彻执行国家国内外贸易、国际经济合作和区域经济合作的发展战略、政策，起草我省国内外贸易、招商引资、承接产业转移、对外援助、对外投资和对外经济合作的地方性法规及规章草案、政策措施和实施办法，研究经济全球化、区域经济合作、现代流通方式的发展趋势和流通体制改革并提出建议。</w:t>
      </w:r>
    </w:p>
    <w:p>
      <w:pPr>
        <w:spacing w:line="580" w:lineRule="exact"/>
        <w:ind w:firstLine="640" w:firstLineChars="200"/>
        <w:rPr>
          <w:rFonts w:eastAsia="仿宋_GB2312"/>
          <w:sz w:val="32"/>
          <w:szCs w:val="32"/>
        </w:rPr>
      </w:pPr>
      <w:r>
        <w:rPr>
          <w:rFonts w:eastAsia="仿宋_GB2312"/>
          <w:sz w:val="32"/>
          <w:szCs w:val="32"/>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spacing w:line="580" w:lineRule="exact"/>
        <w:ind w:firstLine="640" w:firstLineChars="200"/>
        <w:rPr>
          <w:rFonts w:eastAsia="仿宋_GB2312"/>
          <w:sz w:val="32"/>
          <w:szCs w:val="32"/>
        </w:rPr>
      </w:pPr>
      <w:r>
        <w:rPr>
          <w:rFonts w:eastAsia="仿宋_GB2312"/>
          <w:sz w:val="32"/>
          <w:szCs w:val="32"/>
        </w:rPr>
        <w:t>3.拟订全省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spacing w:line="580" w:lineRule="exact"/>
        <w:ind w:firstLine="640" w:firstLineChars="200"/>
        <w:rPr>
          <w:rFonts w:eastAsia="仿宋_GB2312"/>
          <w:sz w:val="32"/>
          <w:szCs w:val="32"/>
        </w:rPr>
      </w:pPr>
      <w:r>
        <w:rPr>
          <w:rFonts w:eastAsia="仿宋_GB2312"/>
          <w:sz w:val="32"/>
          <w:szCs w:val="32"/>
        </w:rPr>
        <w:t>4.承担牵头协调整顿和规范市场经济秩序工作的责任，拟订规范市场秩序的政策；协调全省消除地区封锁、打破行业垄断的有关工作，规范商贸企业交易行为；推动商务领域信用建设，指导商业信用销售，建立市场诚信公共服务平台；按有关规定对特殊流通行业进行监督管理。</w:t>
      </w:r>
    </w:p>
    <w:p>
      <w:pPr>
        <w:spacing w:line="580" w:lineRule="exact"/>
        <w:ind w:firstLine="640" w:firstLineChars="200"/>
        <w:rPr>
          <w:rFonts w:eastAsia="仿宋_GB2312"/>
          <w:sz w:val="32"/>
          <w:szCs w:val="32"/>
        </w:rPr>
      </w:pPr>
      <w:r>
        <w:rPr>
          <w:rFonts w:eastAsia="仿宋_GB2312"/>
          <w:sz w:val="32"/>
          <w:szCs w:val="32"/>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spacing w:line="580" w:lineRule="exact"/>
        <w:ind w:firstLine="640" w:firstLineChars="200"/>
        <w:rPr>
          <w:rFonts w:eastAsia="仿宋_GB2312"/>
          <w:sz w:val="32"/>
          <w:szCs w:val="32"/>
        </w:rPr>
      </w:pPr>
      <w:r>
        <w:rPr>
          <w:rFonts w:eastAsia="仿宋_GB2312"/>
          <w:sz w:val="32"/>
          <w:szCs w:val="32"/>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spacing w:line="580" w:lineRule="exact"/>
        <w:ind w:firstLine="640" w:firstLineChars="200"/>
        <w:rPr>
          <w:rFonts w:eastAsia="仿宋_GB2312"/>
          <w:sz w:val="32"/>
          <w:szCs w:val="32"/>
        </w:rPr>
      </w:pPr>
      <w:r>
        <w:rPr>
          <w:rFonts w:eastAsia="仿宋_GB2312"/>
          <w:sz w:val="32"/>
          <w:szCs w:val="32"/>
        </w:rPr>
        <w:t>7.贯彻执行国家对外技术贸易、出口管制以及鼓励技术和成套设备进出口的贸易政策，推进进出口贸易标准化工作；依法监督技术引进、设备进口、国家限制出口技术的工作。</w:t>
      </w:r>
    </w:p>
    <w:p>
      <w:pPr>
        <w:spacing w:line="580" w:lineRule="exact"/>
        <w:ind w:firstLine="640" w:firstLineChars="200"/>
        <w:rPr>
          <w:rFonts w:eastAsia="仿宋_GB2312"/>
          <w:sz w:val="32"/>
          <w:szCs w:val="32"/>
        </w:rPr>
      </w:pPr>
      <w:r>
        <w:rPr>
          <w:rFonts w:eastAsia="仿宋_GB2312"/>
          <w:sz w:val="32"/>
          <w:szCs w:val="32"/>
        </w:rPr>
        <w:t>8.牵头拟订服务贸易发展规划并开展相关工作；会同有关部门制定促进服务出口、服务外包的规划、政策并组织实施，推动服务外包平台建设。</w:t>
      </w:r>
    </w:p>
    <w:p>
      <w:pPr>
        <w:spacing w:line="580" w:lineRule="exact"/>
        <w:ind w:firstLine="640" w:firstLineChars="200"/>
        <w:rPr>
          <w:rFonts w:eastAsia="仿宋_GB2312"/>
          <w:sz w:val="32"/>
          <w:szCs w:val="32"/>
        </w:rPr>
      </w:pPr>
      <w:r>
        <w:rPr>
          <w:rFonts w:eastAsia="仿宋_GB2312"/>
          <w:sz w:val="32"/>
          <w:szCs w:val="32"/>
        </w:rPr>
        <w:t>9.贯彻执行我国多双边（含区域、自由贸易区）经贸合作战略和政策，推进我省与其他国家（地区）的经贸往来与投资贸易合作；牵头承担全省商务领域涉及世界贸易组织事务的相关工作，负责对外经济贸易协调工作。</w:t>
      </w:r>
    </w:p>
    <w:p>
      <w:pPr>
        <w:spacing w:line="580" w:lineRule="exact"/>
        <w:ind w:firstLine="640" w:firstLineChars="200"/>
        <w:rPr>
          <w:rFonts w:eastAsia="仿宋_GB2312"/>
          <w:sz w:val="32"/>
          <w:szCs w:val="32"/>
        </w:rPr>
      </w:pPr>
      <w:r>
        <w:rPr>
          <w:rFonts w:eastAsia="仿宋_GB2312"/>
          <w:sz w:val="32"/>
          <w:szCs w:val="32"/>
        </w:rPr>
        <w:t>10.负责组织协调反倾销、反补贴、保障措施及其他与进出口公平贸易相关的工作，协助开展对外贸易调查和产业损害调查，指导协调产业安全应对工作。</w:t>
      </w:r>
    </w:p>
    <w:p>
      <w:pPr>
        <w:spacing w:line="580" w:lineRule="exact"/>
        <w:ind w:firstLine="640" w:firstLineChars="200"/>
        <w:rPr>
          <w:rFonts w:eastAsia="仿宋_GB2312"/>
          <w:sz w:val="32"/>
          <w:szCs w:val="32"/>
        </w:rPr>
      </w:pPr>
      <w:r>
        <w:rPr>
          <w:rFonts w:eastAsia="仿宋_GB2312"/>
          <w:sz w:val="32"/>
          <w:szCs w:val="32"/>
        </w:rPr>
        <w:t>11.宏观指导全省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省外商投资企业审批工作，规范招商引资活动；指导国家级、省级经济技术开发区的有关工作。</w:t>
      </w:r>
    </w:p>
    <w:p>
      <w:pPr>
        <w:spacing w:line="580" w:lineRule="exact"/>
        <w:ind w:firstLine="640" w:firstLineChars="200"/>
        <w:rPr>
          <w:rFonts w:eastAsia="仿宋_GB2312"/>
          <w:sz w:val="32"/>
          <w:szCs w:val="32"/>
        </w:rPr>
      </w:pPr>
      <w:r>
        <w:rPr>
          <w:rFonts w:eastAsia="仿宋_GB2312"/>
          <w:sz w:val="32"/>
          <w:szCs w:val="32"/>
        </w:rPr>
        <w:t>12.拟订并组织实施对外经济合作政策；依法管理和监督对外承包工程、对外劳务合作等；拟订省内人员出境就业管理政策并组织实施，负责牵头外派劳务和境外就业人员的权益保护工作；拟订境外投资的管理办法和具体政策，依法核准省内企业对外投资开办企业（金融企业除外）。</w:t>
      </w:r>
    </w:p>
    <w:p>
      <w:pPr>
        <w:spacing w:line="580" w:lineRule="exact"/>
        <w:ind w:firstLine="640" w:firstLineChars="200"/>
        <w:rPr>
          <w:rFonts w:eastAsia="仿宋_GB2312"/>
          <w:sz w:val="32"/>
          <w:szCs w:val="32"/>
        </w:rPr>
      </w:pPr>
      <w:r>
        <w:rPr>
          <w:rFonts w:eastAsia="仿宋_GB2312"/>
          <w:sz w:val="32"/>
          <w:szCs w:val="32"/>
        </w:rPr>
        <w:t>13.贯彻执行国家对外援助政策和方案，协调管理全省承担的对外援助项目；协调管理多双边对我省的无偿援助和赠款（不含财政合作项下外国政府及国际金融组织的赠款）等发展合作业务。</w:t>
      </w:r>
    </w:p>
    <w:p>
      <w:pPr>
        <w:spacing w:line="580" w:lineRule="exact"/>
        <w:ind w:firstLine="640" w:firstLineChars="200"/>
        <w:rPr>
          <w:rFonts w:eastAsia="仿宋_GB2312"/>
          <w:sz w:val="32"/>
          <w:szCs w:val="32"/>
        </w:rPr>
      </w:pPr>
      <w:r>
        <w:rPr>
          <w:rFonts w:eastAsia="仿宋_GB2312"/>
          <w:sz w:val="32"/>
          <w:szCs w:val="32"/>
        </w:rPr>
        <w:t>14.贯彻执行国家对香港、澳门特别行政区和台湾地区的经贸规划、政策，指导我省对港、澳、台地区贸易和经贸合作活动，协调港、澳、台商投资管理工作。</w:t>
      </w:r>
    </w:p>
    <w:p>
      <w:pPr>
        <w:spacing w:line="580" w:lineRule="exact"/>
        <w:ind w:firstLine="640" w:firstLineChars="200"/>
        <w:rPr>
          <w:rFonts w:eastAsia="仿宋_GB2312"/>
          <w:sz w:val="32"/>
          <w:szCs w:val="32"/>
        </w:rPr>
      </w:pPr>
      <w:r>
        <w:rPr>
          <w:rFonts w:eastAsia="仿宋_GB2312"/>
          <w:sz w:val="32"/>
          <w:szCs w:val="32"/>
        </w:rPr>
        <w:t>15.负责全省对外开放口岸的规划、申报及有关审批工作；协调管理全省口岸工作，推动建立大通关机制。</w:t>
      </w:r>
    </w:p>
    <w:p>
      <w:pPr>
        <w:spacing w:line="580" w:lineRule="exact"/>
        <w:ind w:firstLine="640" w:firstLineChars="200"/>
        <w:rPr>
          <w:rFonts w:eastAsia="仿宋_GB2312"/>
          <w:sz w:val="32"/>
          <w:szCs w:val="32"/>
        </w:rPr>
      </w:pPr>
      <w:r>
        <w:rPr>
          <w:rFonts w:eastAsia="仿宋_GB2312"/>
          <w:sz w:val="32"/>
          <w:szCs w:val="32"/>
        </w:rPr>
        <w:t>16.承担会展业促进与管理有关工作，按照有关规定实施在湖南境内举办对外经济技术展览会的许可工作。</w:t>
      </w:r>
    </w:p>
    <w:p>
      <w:pPr>
        <w:spacing w:line="580" w:lineRule="exact"/>
        <w:ind w:firstLine="640" w:firstLineChars="200"/>
        <w:rPr>
          <w:rFonts w:eastAsia="仿宋_GB2312"/>
          <w:sz w:val="32"/>
          <w:szCs w:val="32"/>
        </w:rPr>
      </w:pPr>
      <w:r>
        <w:rPr>
          <w:rFonts w:eastAsia="仿宋_GB2312"/>
          <w:sz w:val="32"/>
          <w:szCs w:val="32"/>
        </w:rPr>
        <w:t>17.承担全省商务系统统计及其它信息发布工作，提供信息咨询服务，指导全省流通领域信息网络和电子商务建设。</w:t>
      </w:r>
    </w:p>
    <w:p>
      <w:pPr>
        <w:spacing w:line="580" w:lineRule="exact"/>
        <w:ind w:firstLine="640" w:firstLineChars="200"/>
        <w:rPr>
          <w:rFonts w:eastAsia="仿宋_GB2312"/>
          <w:sz w:val="32"/>
          <w:szCs w:val="32"/>
        </w:rPr>
      </w:pPr>
      <w:r>
        <w:rPr>
          <w:rFonts w:eastAsia="仿宋_GB2312"/>
          <w:sz w:val="32"/>
          <w:szCs w:val="32"/>
        </w:rPr>
        <w:t>18.承办省人民政府交办的其他事项。</w:t>
      </w:r>
    </w:p>
    <w:p>
      <w:p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（二）机构设置情况</w:t>
      </w:r>
    </w:p>
    <w:p>
      <w:pPr>
        <w:spacing w:line="580" w:lineRule="exact"/>
        <w:ind w:firstLine="640" w:firstLineChars="200"/>
        <w:rPr>
          <w:rFonts w:eastAsia="仿宋_GB2312"/>
          <w:sz w:val="32"/>
          <w:szCs w:val="32"/>
        </w:rPr>
      </w:pPr>
      <w:r>
        <w:rPr>
          <w:rFonts w:eastAsia="仿宋_GB2312"/>
          <w:sz w:val="32"/>
          <w:szCs w:val="32"/>
        </w:rPr>
        <w:t>根据省编委核定，我厅内设办公室、人事处、综合调研处、法规处（行政审批处）、财务处、市场运行和消费促进处、市场体系建设处、流通业发展处、会展业发展处、电子商务处、服务贸易和商贸服务业处、对外贸易处、加工贸易处、投资促进处、投资管理处、园区开放发展处、自贸区综合协调处、自贸区制度创新处、自贸区评估指导处、对外投资和经济合作处、中国-非洲经贸博览会秘书处、地区合作一处、地区合作二处、口岸国际物流发展处、口岸处、机关党委（机关纪委）、离退休人员管理服务处，机关后勤服务中心、信息中心，共27个处室和2个中心。</w:t>
      </w:r>
    </w:p>
    <w:p>
      <w:pPr>
        <w:spacing w:line="580" w:lineRule="exact"/>
        <w:ind w:firstLine="640" w:firstLineChars="200"/>
        <w:rPr>
          <w:rFonts w:eastAsia="仿宋_GB2312"/>
          <w:sz w:val="32"/>
          <w:szCs w:val="32"/>
        </w:rPr>
      </w:pPr>
      <w:r>
        <w:rPr>
          <w:rFonts w:eastAsia="仿宋_GB2312"/>
          <w:sz w:val="32"/>
          <w:szCs w:val="32"/>
        </w:rPr>
        <w:t>2024年度，我厅纳入绩效自评的预算单位共2个，包括厅机关本级和湖南省商务服务中心，预算单位财务核算适用政府会计制度。</w:t>
      </w:r>
    </w:p>
    <w:p>
      <w:p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（三）人员情况</w:t>
      </w:r>
    </w:p>
    <w:p>
      <w:pPr>
        <w:spacing w:line="580" w:lineRule="exact"/>
        <w:ind w:firstLine="640" w:firstLineChars="200"/>
        <w:rPr>
          <w:rFonts w:eastAsia="仿宋_GB2312"/>
          <w:sz w:val="32"/>
          <w:szCs w:val="32"/>
        </w:rPr>
      </w:pPr>
      <w:r>
        <w:rPr>
          <w:rFonts w:eastAsia="仿宋_GB2312"/>
          <w:sz w:val="32"/>
          <w:szCs w:val="32"/>
        </w:rPr>
        <w:t>截至2024年底，我厅实有在职人员220人，其中，公务员152人，参照公务员法管理事业人员51人，事业管理人员和专业技术人员9人，机关和事业工人8人。</w:t>
      </w:r>
    </w:p>
    <w:p>
      <w:p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（四）绩效目标情况</w:t>
      </w:r>
    </w:p>
    <w:p>
      <w:pPr>
        <w:spacing w:line="580" w:lineRule="exact"/>
        <w:ind w:firstLine="640" w:firstLineChars="200"/>
        <w:rPr>
          <w:rFonts w:eastAsia="仿宋_GB2312"/>
          <w:sz w:val="32"/>
          <w:szCs w:val="32"/>
        </w:rPr>
      </w:pPr>
      <w:r>
        <w:rPr>
          <w:rFonts w:eastAsia="仿宋_GB2312"/>
          <w:sz w:val="32"/>
          <w:szCs w:val="32"/>
        </w:rPr>
        <w:t>2024年2月，我厅在门户网站公开《湖南省商务厅2024年部门预算公开》情况，同步公布本年度部门整体支出绩效目标情况。2024年部门整体支出绩效目标主要为：深入学习贯彻党的二十大精神，把党的二十大精神落实到商务和开放型经济发展各方面，贯彻落实省委经济工作会议、全国商务工作会议等部署要求。突出抓招商、稳外贸、促消费，着力优化平台体系、服务体系、通道体系、人才体系，奋力打造内陆地区改革开放高地，凝心聚力贡献商务力量。力争全年实现外贸进出口增长5%以上，利用外资增长10%以上，社会消费零售品总额增长5%以上。</w:t>
      </w:r>
    </w:p>
    <w:p>
      <w:pPr>
        <w:spacing w:line="580" w:lineRule="exact"/>
        <w:ind w:firstLine="640" w:firstLineChars="200"/>
        <w:rPr>
          <w:rFonts w:ascii="黑体" w:hAnsi="黑体" w:eastAsia="黑体"/>
          <w:sz w:val="32"/>
          <w:szCs w:val="32"/>
        </w:rPr>
      </w:pPr>
      <w:r>
        <w:rPr>
          <w:rFonts w:ascii="黑体" w:hAnsi="黑体" w:eastAsia="黑体"/>
          <w:sz w:val="32"/>
          <w:szCs w:val="32"/>
        </w:rPr>
        <w:t>二、部门整体收支情况</w:t>
      </w:r>
    </w:p>
    <w:p>
      <w:p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（一）收入情况</w:t>
      </w:r>
    </w:p>
    <w:p>
      <w:pPr>
        <w:spacing w:line="580" w:lineRule="exact"/>
        <w:ind w:firstLine="640" w:firstLineChars="200"/>
        <w:rPr>
          <w:rFonts w:eastAsia="仿宋_GB2312"/>
          <w:sz w:val="32"/>
          <w:szCs w:val="32"/>
        </w:rPr>
      </w:pPr>
      <w:r>
        <w:rPr>
          <w:rFonts w:eastAsia="仿宋_GB2312"/>
          <w:sz w:val="32"/>
          <w:szCs w:val="32"/>
        </w:rPr>
        <w:t>2024年省财政厅批复我厅全年收入预算17,270.56万元，其中，一般公共预算拨款13,753.01万元，政府性基金预算拨款0万元，国有资本经营预算拨款0万元，纳入专户管理的非税收入0万元，上年结转结余3,517.55万元。收入较去年减少36,593.16万元，主要是由于机构调整，原所属湖南外贸职业学院、湖南现代物流职业技术学院划归省教育厅管理，导致一般公共预算拨款、纳入专户管理的非税收入、上级财政补助收入等较上年减少。</w:t>
      </w:r>
    </w:p>
    <w:p>
      <w:pPr>
        <w:spacing w:line="580" w:lineRule="exact"/>
        <w:ind w:firstLine="640" w:firstLineChars="200"/>
        <w:rPr>
          <w:rFonts w:ascii="楷体_GB2312" w:eastAsia="楷体_GB2312"/>
          <w:bCs/>
          <w:sz w:val="32"/>
          <w:szCs w:val="32"/>
        </w:rPr>
      </w:pPr>
      <w:r>
        <w:rPr>
          <w:rFonts w:ascii="楷体_GB2312" w:eastAsia="楷体_GB2312"/>
          <w:bCs/>
          <w:sz w:val="32"/>
          <w:szCs w:val="32"/>
        </w:rPr>
        <w:t>（二）支出情况</w:t>
      </w:r>
    </w:p>
    <w:p>
      <w:pPr>
        <w:spacing w:line="580" w:lineRule="exact"/>
        <w:ind w:firstLine="640" w:firstLineChars="200"/>
        <w:rPr>
          <w:rFonts w:eastAsia="仿宋_GB2312"/>
          <w:sz w:val="32"/>
          <w:szCs w:val="32"/>
        </w:rPr>
      </w:pPr>
      <w:r>
        <w:rPr>
          <w:rFonts w:eastAsia="仿宋_GB2312"/>
          <w:sz w:val="32"/>
          <w:szCs w:val="32"/>
        </w:rPr>
        <w:t>2024年省财政厅批复我厅支出预算17,270.56万元，其中，一般公共服务支出10,916.67万元，教育支出89.06万元，社会保障和就业支出3,270万元，卫生健康支出626万元，商业服务业等支出1,874.83万元，住房保障支出494万元。支出较去年减少36,593.16万元，主要是由于机构调整，原所属湖南外贸职业学院、湖南现代物流职业技术学院划归省教育厅管理，导致一般公共服务支出、教育支出、社会保障和就业支出、住房保障支出等较上年减少。</w:t>
      </w:r>
    </w:p>
    <w:p>
      <w:pPr>
        <w:spacing w:line="580" w:lineRule="exact"/>
        <w:ind w:firstLine="640" w:firstLineChars="200"/>
        <w:rPr>
          <w:rFonts w:ascii="楷体_GB2312" w:eastAsia="楷体_GB2312"/>
          <w:bCs/>
          <w:sz w:val="32"/>
          <w:szCs w:val="32"/>
        </w:rPr>
      </w:pPr>
      <w:r>
        <w:rPr>
          <w:rFonts w:ascii="楷体_GB2312" w:eastAsia="楷体_GB2312"/>
          <w:bCs/>
          <w:sz w:val="32"/>
          <w:szCs w:val="32"/>
        </w:rPr>
        <w:t>（三）结转结余情况</w:t>
      </w:r>
    </w:p>
    <w:p>
      <w:pPr>
        <w:spacing w:line="580" w:lineRule="exact"/>
        <w:ind w:firstLine="640" w:firstLineChars="200"/>
        <w:rPr>
          <w:rFonts w:eastAsia="仿宋_GB2312"/>
          <w:sz w:val="32"/>
          <w:szCs w:val="32"/>
        </w:rPr>
      </w:pPr>
      <w:r>
        <w:rPr>
          <w:rFonts w:eastAsia="仿宋_GB2312"/>
          <w:sz w:val="32"/>
          <w:szCs w:val="32"/>
        </w:rPr>
        <w:t>2024年我厅全年收入23,387.18万元，调整后的年初结转和结余5,883.13万元，全年决算收入为29,270.30万元，全年实际支出22,308.72万元，年末结转和结余6,961.58万元。</w:t>
      </w:r>
    </w:p>
    <w:p>
      <w:pPr>
        <w:spacing w:line="580" w:lineRule="exact"/>
        <w:ind w:firstLine="640" w:firstLineChars="200"/>
        <w:rPr>
          <w:rFonts w:ascii="黑体" w:hAnsi="黑体" w:eastAsia="黑体"/>
          <w:sz w:val="32"/>
          <w:szCs w:val="32"/>
        </w:rPr>
      </w:pPr>
      <w:r>
        <w:rPr>
          <w:rFonts w:ascii="黑体" w:hAnsi="黑体" w:eastAsia="黑体"/>
          <w:sz w:val="32"/>
          <w:szCs w:val="32"/>
        </w:rPr>
        <w:t>三、一般公共预算支出情况</w:t>
      </w:r>
    </w:p>
    <w:p>
      <w:pPr>
        <w:spacing w:line="580" w:lineRule="exact"/>
        <w:ind w:firstLine="640" w:firstLineChars="200"/>
        <w:rPr>
          <w:rFonts w:ascii="楷体_GB2312" w:eastAsia="楷体_GB2312"/>
          <w:bCs/>
          <w:sz w:val="32"/>
          <w:szCs w:val="32"/>
        </w:rPr>
      </w:pPr>
      <w:r>
        <w:rPr>
          <w:rFonts w:ascii="楷体_GB2312" w:eastAsia="楷体_GB2312"/>
          <w:bCs/>
          <w:sz w:val="32"/>
          <w:szCs w:val="32"/>
        </w:rPr>
        <w:t>（一）基本支出情况</w:t>
      </w:r>
    </w:p>
    <w:p>
      <w:pPr>
        <w:spacing w:line="580" w:lineRule="exact"/>
        <w:ind w:firstLine="640" w:firstLineChars="200"/>
        <w:rPr>
          <w:rFonts w:eastAsia="仿宋_GB2312"/>
          <w:sz w:val="32"/>
          <w:szCs w:val="32"/>
        </w:rPr>
      </w:pPr>
      <w:r>
        <w:rPr>
          <w:rFonts w:eastAsia="仿宋_GB2312"/>
          <w:sz w:val="32"/>
          <w:szCs w:val="32"/>
        </w:rPr>
        <w:t>基本支出系保障我厅正常运转、完成日常工作任务而发生的各项支出，包括用于在职和离退休人员基本工资、津贴补贴等人员经费以及办公费、印刷费、水电费、办公设备购置等日常公用经费。2024年基本支出10,008.56万元，较上年减少658.01万元，下降6.17%。基本支出中人员经费8,416.29万元，占基本支出的84.09%，人员经费较上年下降5.44%；公用经费支出1,592.27万元，占基本支出的15.91%，公用经费较上年下降9.85%，主要原因是我厅严格落实过“紧日子”要求，主动压减公用经费，节约机关运转经费支出。</w:t>
      </w:r>
    </w:p>
    <w:p>
      <w:pPr>
        <w:spacing w:line="580" w:lineRule="exact"/>
        <w:ind w:firstLine="640" w:firstLineChars="200"/>
        <w:rPr>
          <w:rFonts w:ascii="楷体_GB2312" w:eastAsia="楷体_GB2312"/>
          <w:bCs/>
          <w:sz w:val="32"/>
          <w:szCs w:val="32"/>
        </w:rPr>
      </w:pPr>
      <w:r>
        <w:rPr>
          <w:rFonts w:ascii="楷体_GB2312" w:eastAsia="楷体_GB2312"/>
          <w:bCs/>
          <w:sz w:val="32"/>
          <w:szCs w:val="32"/>
        </w:rPr>
        <w:t>（二）项目支出情况</w:t>
      </w:r>
    </w:p>
    <w:p>
      <w:pPr>
        <w:spacing w:line="580" w:lineRule="exact"/>
        <w:ind w:firstLine="640" w:firstLineChars="200"/>
        <w:rPr>
          <w:rFonts w:eastAsia="仿宋_GB2312"/>
          <w:b/>
          <w:bCs/>
          <w:sz w:val="32"/>
          <w:szCs w:val="32"/>
        </w:rPr>
      </w:pPr>
      <w:r>
        <w:rPr>
          <w:rFonts w:eastAsia="仿宋_GB2312"/>
          <w:b/>
          <w:bCs/>
          <w:sz w:val="32"/>
          <w:szCs w:val="32"/>
        </w:rPr>
        <w:t>1.省级开放型与流通产业发展专项（含部门预算）</w:t>
      </w:r>
    </w:p>
    <w:p>
      <w:pPr>
        <w:spacing w:line="580" w:lineRule="exact"/>
        <w:ind w:firstLine="640" w:firstLineChars="200"/>
        <w:rPr>
          <w:rFonts w:eastAsia="仿宋_GB2312"/>
          <w:sz w:val="32"/>
          <w:szCs w:val="32"/>
        </w:rPr>
      </w:pPr>
      <w:r>
        <w:rPr>
          <w:rFonts w:eastAsia="仿宋_GB2312"/>
          <w:sz w:val="32"/>
          <w:szCs w:val="32"/>
        </w:rPr>
        <w:t>纳入本次绩效自评范围的2024年省级开放型与流通产业发展专项全年预算143,676万元，2024年实际下达资金143,676万元，按支出方向分为外贸促进方向10,838万元，招商引资17,300万元，对外经济合作6,530万元，口岸发展48,772万元，商贸流通产业发展31,900万元，对非经贸合作2,120万元，自贸试验区发展19,176万元，其他7,040万元。资金全部按时下达。</w:t>
      </w:r>
    </w:p>
    <w:p>
      <w:pPr>
        <w:spacing w:line="580" w:lineRule="exact"/>
        <w:ind w:firstLine="640" w:firstLineChars="200"/>
        <w:rPr>
          <w:rFonts w:eastAsia="仿宋_GB2312"/>
          <w:sz w:val="32"/>
          <w:szCs w:val="32"/>
        </w:rPr>
      </w:pPr>
      <w:r>
        <w:rPr>
          <w:rFonts w:eastAsia="仿宋_GB2312"/>
          <w:b/>
          <w:bCs/>
          <w:sz w:val="32"/>
          <w:szCs w:val="32"/>
        </w:rPr>
        <w:t>2.除对市县专项转移支付资金以外的其他项目支出情况</w:t>
      </w:r>
    </w:p>
    <w:p>
      <w:pPr>
        <w:spacing w:line="580" w:lineRule="exact"/>
        <w:ind w:firstLine="640" w:firstLineChars="200"/>
        <w:rPr>
          <w:rFonts w:eastAsia="仿宋_GB2312"/>
          <w:sz w:val="32"/>
          <w:szCs w:val="32"/>
        </w:rPr>
      </w:pPr>
      <w:r>
        <w:rPr>
          <w:rFonts w:eastAsia="仿宋_GB2312"/>
          <w:sz w:val="32"/>
          <w:szCs w:val="32"/>
        </w:rPr>
        <w:t>项目支出是指为发展流通产业、对外贸易、招商引资、对外经济技术合作等发生的支出，主要用于省级重大经贸活动、重点业务工作等方面。2024年，我厅除对市县专项转移支付资金以外的其他项目支出12,300.15万元，其中商品和服务支出12,035.05万元，对个人和家庭补助支出189.21万元，资本性支出50.01万元，对企业补助25.88万元。</w:t>
      </w:r>
    </w:p>
    <w:p>
      <w:pPr>
        <w:spacing w:line="580" w:lineRule="exact"/>
        <w:ind w:firstLine="640" w:firstLineChars="200"/>
        <w:rPr>
          <w:rFonts w:ascii="黑体" w:hAnsi="黑体" w:eastAsia="黑体"/>
          <w:sz w:val="32"/>
          <w:szCs w:val="32"/>
        </w:rPr>
      </w:pPr>
      <w:r>
        <w:rPr>
          <w:rFonts w:ascii="黑体" w:hAnsi="黑体" w:eastAsia="黑体"/>
          <w:sz w:val="32"/>
          <w:szCs w:val="32"/>
        </w:rPr>
        <w:t>四、政府性基金预算支出情况</w:t>
      </w:r>
    </w:p>
    <w:p>
      <w:pPr>
        <w:spacing w:line="580" w:lineRule="exact"/>
        <w:ind w:firstLine="640" w:firstLineChars="200"/>
        <w:rPr>
          <w:rFonts w:eastAsia="仿宋_GB2312"/>
          <w:sz w:val="32"/>
          <w:szCs w:val="32"/>
        </w:rPr>
      </w:pPr>
      <w:r>
        <w:rPr>
          <w:rFonts w:eastAsia="仿宋_GB2312"/>
          <w:sz w:val="32"/>
          <w:szCs w:val="32"/>
        </w:rPr>
        <w:t>我厅2024年未安排政府性基金预算，全年未发生相关支出。</w:t>
      </w:r>
    </w:p>
    <w:p>
      <w:pPr>
        <w:spacing w:line="580" w:lineRule="exact"/>
        <w:ind w:firstLine="640" w:firstLineChars="200"/>
        <w:rPr>
          <w:rFonts w:ascii="黑体" w:hAnsi="黑体" w:eastAsia="黑体"/>
          <w:sz w:val="32"/>
          <w:szCs w:val="32"/>
        </w:rPr>
      </w:pPr>
      <w:r>
        <w:rPr>
          <w:rFonts w:ascii="黑体" w:hAnsi="黑体" w:eastAsia="黑体"/>
          <w:sz w:val="32"/>
          <w:szCs w:val="32"/>
        </w:rPr>
        <w:t>五、国有资本经营预算支出情况</w:t>
      </w:r>
    </w:p>
    <w:p>
      <w:pPr>
        <w:spacing w:line="580" w:lineRule="exact"/>
        <w:ind w:firstLine="640" w:firstLineChars="200"/>
        <w:rPr>
          <w:rFonts w:eastAsia="仿宋_GB2312"/>
          <w:sz w:val="32"/>
          <w:szCs w:val="32"/>
        </w:rPr>
      </w:pPr>
      <w:r>
        <w:rPr>
          <w:rFonts w:eastAsia="仿宋_GB2312"/>
          <w:sz w:val="32"/>
          <w:szCs w:val="32"/>
        </w:rPr>
        <w:t>我厅2024年未安排国有资本经营预算，全年未发生相关支出。</w:t>
      </w:r>
    </w:p>
    <w:p>
      <w:pPr>
        <w:spacing w:line="580" w:lineRule="exact"/>
        <w:ind w:firstLine="640" w:firstLineChars="200"/>
        <w:rPr>
          <w:rFonts w:ascii="黑体" w:hAnsi="黑体" w:eastAsia="黑体"/>
          <w:sz w:val="32"/>
          <w:szCs w:val="32"/>
        </w:rPr>
      </w:pPr>
      <w:r>
        <w:rPr>
          <w:rFonts w:ascii="黑体" w:hAnsi="黑体" w:eastAsia="黑体"/>
          <w:sz w:val="32"/>
          <w:szCs w:val="32"/>
        </w:rPr>
        <w:t>六、社会保险基金预算支出情况</w:t>
      </w:r>
    </w:p>
    <w:p>
      <w:pPr>
        <w:spacing w:line="580" w:lineRule="exact"/>
        <w:ind w:firstLine="640" w:firstLineChars="200"/>
        <w:rPr>
          <w:rFonts w:eastAsia="仿宋_GB2312"/>
          <w:sz w:val="32"/>
          <w:szCs w:val="32"/>
        </w:rPr>
      </w:pPr>
      <w:r>
        <w:rPr>
          <w:rFonts w:eastAsia="仿宋_GB2312"/>
          <w:sz w:val="32"/>
          <w:szCs w:val="32"/>
        </w:rPr>
        <w:t>我厅2024年未安排社会保险基金预算，全年未发生相关支出。</w:t>
      </w:r>
    </w:p>
    <w:p>
      <w:pPr>
        <w:spacing w:line="580" w:lineRule="exact"/>
        <w:ind w:firstLine="640" w:firstLineChars="200"/>
        <w:rPr>
          <w:rFonts w:ascii="黑体" w:hAnsi="黑体" w:eastAsia="黑体"/>
          <w:sz w:val="32"/>
          <w:szCs w:val="32"/>
        </w:rPr>
      </w:pPr>
      <w:r>
        <w:rPr>
          <w:rFonts w:ascii="黑体" w:hAnsi="黑体" w:eastAsia="黑体"/>
          <w:sz w:val="32"/>
          <w:szCs w:val="32"/>
        </w:rPr>
        <w:t>七、部门整体支出绩效情况</w:t>
      </w:r>
    </w:p>
    <w:p>
      <w:pPr>
        <w:spacing w:line="580" w:lineRule="exact"/>
        <w:ind w:firstLine="640" w:firstLineChars="200"/>
        <w:rPr>
          <w:rFonts w:eastAsia="仿宋_GB2312"/>
          <w:sz w:val="32"/>
          <w:szCs w:val="32"/>
        </w:rPr>
      </w:pPr>
      <w:r>
        <w:rPr>
          <w:rFonts w:eastAsia="仿宋_GB2312"/>
          <w:sz w:val="32"/>
          <w:szCs w:val="32"/>
        </w:rPr>
        <w:t>2024年是实现“十四五”规划目标任务的关键一年。面对外部压力加大、内部困难增多的复杂严峻形势，我厅坚定拥护“两个确立”，坚决做到“两个维护”，锚定“三高四新”美好蓝图，推动党中央、国务院和省委、省政府决策部署在商务领域落地开花，内陆地区改革开放高地建设取得新成效，全省商务和开放型经济运行总体平稳、稳中有进、质量提升、韧性增强，为经济持续回升向好做出了积极贡献。</w:t>
      </w:r>
    </w:p>
    <w:p>
      <w:pPr>
        <w:spacing w:line="580" w:lineRule="exact"/>
        <w:ind w:firstLine="640" w:firstLineChars="200"/>
        <w:rPr>
          <w:rFonts w:eastAsia="仿宋_GB2312"/>
          <w:sz w:val="32"/>
          <w:szCs w:val="32"/>
        </w:rPr>
      </w:pPr>
      <w:r>
        <w:rPr>
          <w:rFonts w:eastAsia="仿宋_GB2312"/>
          <w:sz w:val="32"/>
          <w:szCs w:val="32"/>
        </w:rPr>
        <w:t>根据《部门整体支出绩效自评表》自评分97分（详见附件2），部门整体支出绩效为“优”。主要工作绩效如下：</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（一）着力扩需求挖潜能，消费活力持续激发。</w:t>
      </w:r>
      <w:r>
        <w:rPr>
          <w:rFonts w:eastAsia="仿宋_GB2312"/>
          <w:sz w:val="32"/>
          <w:szCs w:val="32"/>
        </w:rPr>
        <w:t>坚持以政策引导消费、以业态引领消费、以活动激活消费、以平台促进消费、以环境服务消费，让百姓得实惠、经济促发展。以旧换新成效显著。汽车换“能”、家电换“智”、家装厨卫“焕新”以及电动自行车以旧换新累计申领超350万笔，使用国债专项资金超56亿元，补贴政策带动销售超502亿元，惠及1.3万家经营主体和800万省内居民，带动新增限上企业1800余家。相关经验做法获国务院督查组高度评价，被商务部在全国推荐。促销活动丰富多样。常态化举办“惠购三湘”“云购湘品”“味道湖南”等促消费活动千余场，带动消费超千亿元，做到“季季有主题、月月有展会、周周有场景”。消费场景持续焕新。连续两年评选省级夜间消费集聚区100家，持续打造一批“本地人常去、外地人必去”“烟火气、湖南味、国际范”的网红打卡地。成功举办第二届中国（长沙）新消费城市峰会、第四届中国城市夜间经济发展峰会。第三方监测显示，全省网络零售额增长10.5%，每月夜间消费总额均在千亿元以上。商贸流通更加顺畅。聚焦农产品冷链物流强链补链、县域商业体系建设、城市一刻钟便民生活圈建设，倾斜资金支持350余个项目，极大改善流通基础设施。长沙获批首家市内免税店。岳阳入选全国城市一刻钟便民生活圈试点，首批试点城市怀化通过验收。宁乡等11个县（市、区）上榜全国县域商业“领跑县”典型案例，数量排全国第8。新增中华老字号企业11家。老字号“出海”经验、江永县农村电商经验入选全国典型案例。市场体系不断健全。深入推进商务系统安全生产治本攻坚三年行动和安全守底行动，强化成品油税控监管，商贸流通领域安全生产和消防形势稳定向好。推进全国生活必需品流通保供体系建设试点。去年7月，华容、平江、资兴等县市区发生重大洪涝灾害和山体滑坡后，各级商务部门全力保障近70万受灾群众和5万名一线抢险救灾人员的生活物资供应和救灾车辆设备的油料供应，新增入库135个灾后恢复重建项目，出台以旧换新专项补贴政策，将受灾人员补贴标准提高10%，对口支援烟坪村灾后重建，彰显商务为民担当。</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（二）着力扩开放增动能，外贸韧性持续强化。</w:t>
      </w:r>
      <w:r>
        <w:rPr>
          <w:rFonts w:eastAsia="仿宋_GB2312"/>
          <w:sz w:val="32"/>
          <w:szCs w:val="32"/>
        </w:rPr>
        <w:t>聚焦主体培育、产贸融合、市场开拓等夯基固本举措，对外贸易实现“质升量稳”。从数据来看，贸易伙伴更加稳固，外贸“朋友圈”拓展至235个，对俄罗斯、墨西哥、智利、哈萨克斯坦进出口分别增长16.7%、25%、21.5%、36.2%，对共建“一带一路”国家进出口占外贸总额的52.1%。进口势头更加强劲，铜矿砂、自动数据处理设备、牛肉、化妆品进口增长28.6%、39.2%、28.4%、19.3%。外贸主体更加多元，生产型企业突破2900家，进出口突破2300亿元，实现两位数增长，占全省进出口比重超4成。外贸实绩企业超8000家，AEO高级认证企业达110家。7个海关特殊监管区进出口占全省外贸比重约24%。我们发力政策支撑，与省税务局签订外贸稳规模优结构战略合作协议，与长沙海关启动新一轮“联席会议机制”，联合省财政厅、省外汇管理局印发针对中小微外贸企业汇率避险的补偿资金支持方案，持续加大对中小企业的服务力度。十部门联合印发实施方案，提升加工贸易发展水平。扩大产业开放，长沙工程机械、株洲轨道交通产业纳入国家外经贸提质增效示范项目，全省工程机械、轨道交通、“新三样”出口均实现两位数以上增长。支持市场开拓，发布重点境外展会目录，广交会参展企业、展位和成交额均创历史新高。湖南国贸集团、马栏山对外文化贸易综合服务中心挂牌成立，服务湘企走出去，前三季度文化服务进出口增长31%。发展新兴业态，出台支持跨境电商、海外仓、中间品贸易发展的一系列政策，培育建设跨境电商产业园、产业带和孵化中心22个，企业建设运营海外仓107个，面积增长7%，全年跨境电商进出口预计550亿元。</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（三）着力促创新引项目，招商质效持续提升。</w:t>
      </w:r>
      <w:r>
        <w:rPr>
          <w:rFonts w:hint="eastAsia" w:eastAsia="仿宋_GB2312"/>
          <w:sz w:val="32"/>
          <w:szCs w:val="32"/>
          <w:lang w:val="en-US" w:eastAsia="zh-CN"/>
        </w:rPr>
        <w:t>2024</w:t>
      </w:r>
      <w:r>
        <w:rPr>
          <w:rFonts w:eastAsia="仿宋_GB2312"/>
          <w:sz w:val="32"/>
          <w:szCs w:val="32"/>
        </w:rPr>
        <w:t>年新春第一会，省委高规格召开全省招商引资大会，我们加大面向全球招商力度，强力打造“投资湖南”品牌。以对接国家战略为契机。发挥“一带一部”区位优势，全方位对接融入国家重大战略，举办第十三届中部博览会、制造业应用场景对接会、沪洽周、欧洽会、跨交会等招商活动，协办全球湘商大会、旅发大会、北斗规模应用国际峰会等，积极参加进博会、广交会、服贸会、消博会、高交会、跨国公司青岛峰会等，做好“借道开放”文章。以构建大招商格局为总揽。加强全省整体布局和省、市、县（园区）三级联动，建立市州对口重点国家（地区）招商工作机制，构建了由商务部门牵头抓总、相关行业部门协同推进、属地（园区）负责承接落地的大招商格局。在全国率先发布招商引资正面清单14条，相继出台强化招商引资工作政策措施、重点招商引资项目认定办法、国际合作园区认定办法等政策举措，为企业来湘发展创造更透明、可预期的政策环境。推动德国博世、舍弗勒、日本永旺、佰骏医疗、玉湖冷链等一批跨国公司和行业领军企业在湘投资扩产，来湘投资的“世界500强”达212家。以招大引强为重点。编制12条重点产业链“一图两库一队”（招商路线图、重点项目库、客商库、驻点招商队），聚焦“4×4”现代化产业体系发布创新平台招商、产业基金招商等信息册，瞄准“三类500强”、跨国公司、“专精特新”企业和国内外一流研发机构精准招商，长沙协鑫研发基地、安博区域总部、湘潭OST锦智光电、岳阳紫光智能制造、湘西融科电池等大项目相继落地，首个QFLP试点项目和德国中小企业总部集聚区落户，全年湘商回归新注册企业1670家、累计到位资金突破6000亿元。以外资攻坚行动为抓手。加强业务指导和信息对接，推进各市州和园区加快利用外资步伐。建立重点外商投资项目跟踪服务机制，召开外资企业圆桌会议4场，发挥外商投资企业投诉中心作用，畅通侵权举报受理渠道，及时为企业排忧解难，去年外商建议诉求解决率达92%。</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（四）着力抓项目防风险，外经合作持续拓展。</w:t>
      </w:r>
      <w:r>
        <w:rPr>
          <w:rFonts w:eastAsia="仿宋_GB2312"/>
          <w:sz w:val="32"/>
          <w:szCs w:val="32"/>
        </w:rPr>
        <w:t>突出“一带一路”重点方向，坚持推进重大标志性工程和“小而美”民生项目相结合，促进湘企“抱团出海”。拓展国际合作。爱非利加坦桑尼亚订单农业、中伟印尼冰镍生产线、奥士康泰国工厂、星邦智能墨西哥工厂等一批重点项目落地。巴巴多斯农业、隆平中坦农业、中马牧业等项目入选全球共享发展行动论坛成果。促成泰国、哈萨克斯坦、尼日尔等国家高规格代表团来湘对接考察。成功举办马达加斯加中国日—走进湖南、湖南—伏尔加河沿岸联邦区经贸合作对接会、第三届湖南装备与制造走进东盟投资推介会等活动。优化综合服务。推动省人民政府与中国进出口银行签署战略合作协议，强化政策性金融工具支持。举办重点对外投资合作项目对接会和全省“走出去”业务培训班。成功解决一批融资信保问题和境外投资纠纷。强化援外优势</w:t>
      </w:r>
      <w:r>
        <w:rPr>
          <w:rFonts w:hint="default" w:eastAsia="仿宋_GB2312"/>
          <w:sz w:val="32"/>
          <w:szCs w:val="32"/>
          <w:lang w:val="en"/>
        </w:rPr>
        <w:t xml:space="preserve">, </w:t>
      </w:r>
      <w:r>
        <w:rPr>
          <w:rFonts w:eastAsia="仿宋_GB2312"/>
          <w:sz w:val="32"/>
          <w:szCs w:val="32"/>
        </w:rPr>
        <w:t>成功争取商务部援外培训项目155个，总量居地方首位。我省迄今为止金额最大的援外成套项目——“援阿尔及利亚青年文化宫”获批。援汤加农业技术项目入选第五届全球最佳减贫案例。抓好风险防范。坚持“危地不往、乱地不去、危业不投”，加强对“走出去”项目的事前风险评估指导，“走出去”项目及人员动态管理服务系统试运行。获评商务部、外交部关于“发挥海外商协会作用维护海外项目人员安全”的试点省份。</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（五）着力强平台畅通道，自贸口岸持续赋能。</w:t>
      </w:r>
      <w:r>
        <w:rPr>
          <w:rFonts w:eastAsia="仿宋_GB2312"/>
          <w:sz w:val="32"/>
          <w:szCs w:val="32"/>
        </w:rPr>
        <w:t>坚持以平台通道服务高水平对外开放，不断加强改革创新、集成赋能。实施自贸试验区提升战略。制度创新有突破，累计形成特色制度创新成果109项，其中51项具有全国首创性，“进口转关货物内河运费不计入完税价格审价机制创新”等3项成果在全国复制推广，6项被国家部委推广，国际商务商事集聚区、工程机械再制造及维修基地投入运营，马拉维总领事馆、威孚仕（VFS）联合签证中心、塞尔维亚工商会、中国贸仲中非庭审中心等入驻区内，外国人来华工作一站式服务中心、芙蓉标准化产业集聚区、自贸试验区知识产权服务中心、国际青年人才创业港等开放创新平台提能升级。开放引领显担当，全年自贸试验区贡献了全省3成的外贸和5成的外资。联动发展见成效，长沙片区工程机械总产值占全球的7.2%，岳阳片区港口集装箱吞吐量突破68万标箱，郴州片区有色金属企业实现营收280亿元，湘琼先进制造业共建产业园完成投资119.5亿元，4家全球50强工程机械主机厂入园进行再制造，联合海南省发布全国首个工程机械再制造及维修地方标准。五大国际贸易通道提质增效。联合发改、财政等出台中欧班列开行统筹管理办法、怀化国际陆港班列资金管理办法、湘粤非铁海联运通道运营管理办法等政策举措，规范通道运营，提升资金效能。长沙成功获批中欧班列国家集结中心。长沙、张家界口岸纳入240小时过境免签政策，长沙航空口岸出入境106.6万人次、增长128%；张家界航空口岸国际旅客吞吐量56.3万人次，创历史新高，跻身全国非省会口岸前5，带动旅行服务贸易约24亿元。怀化国际陆港吸引西部陆海新通道南下货运量超七成。</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（六）着力建体系打基础，对非经贸持续深化。</w:t>
      </w:r>
      <w:r>
        <w:rPr>
          <w:rFonts w:eastAsia="仿宋_GB2312"/>
          <w:sz w:val="32"/>
          <w:szCs w:val="32"/>
        </w:rPr>
        <w:t>在去年中非合作论坛北京峰会上，中非经贸博览会及中非经贸深度合作先行区两大平台在习近平总书记的主旨讲话及论坛成果文件中被提及5次，构建中非经贸合作服务体系的系列探索和实践纳入中非“十大伙伴行动”。全年，全省实现对非贸易预计520亿元，总量保持全国第8、中西部第1位。高质量建设中非经贸深度合作先行区。推动商务部等国家部委与我省共同建立先行区建设会商机制，印发先行区建设行动计划、服务体系建设工作方案、先行区建设若干措施等政策举措，建立各市州对口非洲国家长效交流机制。湘晨飞机、湘晨高科、江程进出口、华菱涟钢、常德城发跻身全国对非贸易百强。在16个国家启动40多个产业投资项目，在12个非洲国家布局17个公共海外仓。新型易货贸易完成近1亿元，“海外仓+离岸账户本币结算”进出口3500万美元，“市场采购+跨境电商”实现4.4亿元，湘潭吉利对非整车及KD组件出口3.2亿元。推动中非经贸博览会创新发展。举办中非经贸博览会走进非洲（肯尼亚、尼日利亚）、走进地方（山东、湖北）活动，各方签约项目43个、金额14亿美元。</w:t>
      </w:r>
    </w:p>
    <w:p>
      <w:pPr>
        <w:spacing w:line="580" w:lineRule="exact"/>
        <w:ind w:firstLine="640" w:firstLineChars="200"/>
        <w:rPr>
          <w:rFonts w:eastAsia="仿宋_GB2312"/>
          <w:sz w:val="32"/>
          <w:szCs w:val="32"/>
        </w:rPr>
      </w:pPr>
      <w:r>
        <w:rPr>
          <w:rFonts w:hint="eastAsia" w:ascii="楷体_GB2312" w:hAnsi="楷体_GB2312" w:eastAsia="楷体_GB2312" w:cs="楷体_GB2312"/>
          <w:b w:val="0"/>
          <w:bCs w:val="0"/>
          <w:sz w:val="32"/>
          <w:szCs w:val="32"/>
        </w:rPr>
        <w:t>（七）着力优作风抓落实，党的建设持续加强。</w:t>
      </w:r>
      <w:r>
        <w:rPr>
          <w:rFonts w:eastAsia="仿宋_GB2312"/>
          <w:sz w:val="32"/>
          <w:szCs w:val="32"/>
        </w:rPr>
        <w:t>坚持和加强党对商务工作的全面领导，推动党的建设与商务发展深度融合、聚力并举。突出政治建设引领。全年组织党组理论学习中心组专题研学12次，“第一议题”学习24次，专家授课辅导5次，开展“湘江（开放）大讲堂”3期。深入开展党纪学习教育，举办党纪学习教育专题读书班。深入开展党的二十届三中全会精神宣讲。学习践行习近平法治思想，加强法治政府建设，在省人大开展的省政府组成部门依法行政满意度测评中位列第二。突出业务融合发展。牵头打造“内陆地区改革开放高地标志性工程”党建协作机制。做好服务商贸百强企业，全年联系服务企业1500次，收集并办理各类问题及政策建议269个。突出意识形态建设。严格落实意识形态工作责任制，加强宣传平台管理，稳妥防范处置网络舆情。讲好湖南商务故事，推出原创报道3000余篇。突出资金效能提升。统筹上年结余结转项目资金1200余万元、保障重点方向，精打细算过紧日子，全年公用经费预算、“三公”经费预算较上年压减23.5%、10.8%。突出基层减负赋能。核减“三类”发文9份、会议指标6次，公务接待、商务接待下降22.6%、38.6%。开展招商引资乱象问题和“内卷式”招商专项整治。省部级党政机关举办的展会活动压减75%，省部级以下党政机关举办的展会压减67%。同时，认真做好信访维稳、机关建设、工青妇、老干等工作。</w:t>
      </w:r>
    </w:p>
    <w:p>
      <w:pPr>
        <w:spacing w:line="580" w:lineRule="exact"/>
        <w:ind w:firstLine="640" w:firstLineChars="200"/>
        <w:rPr>
          <w:rFonts w:ascii="黑体" w:hAnsi="黑体" w:eastAsia="黑体"/>
          <w:sz w:val="32"/>
          <w:szCs w:val="32"/>
        </w:rPr>
      </w:pPr>
      <w:r>
        <w:rPr>
          <w:rFonts w:ascii="黑体" w:hAnsi="黑体" w:eastAsia="黑体"/>
          <w:sz w:val="32"/>
          <w:szCs w:val="32"/>
        </w:rPr>
        <w:t>八</w:t>
      </w:r>
      <w:bookmarkStart w:id="3" w:name="_GoBack"/>
      <w:bookmarkEnd w:id="3"/>
      <w:r>
        <w:rPr>
          <w:rFonts w:ascii="黑体" w:hAnsi="黑体" w:eastAsia="黑体"/>
          <w:sz w:val="32"/>
          <w:szCs w:val="32"/>
        </w:rPr>
        <w:t>、绩效自评结果拟应用和公开情况</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（一）绩效自评结果拟应用情况</w:t>
      </w:r>
    </w:p>
    <w:p>
      <w:pPr>
        <w:spacing w:line="580" w:lineRule="exact"/>
        <w:ind w:firstLine="640" w:firstLineChars="200"/>
        <w:rPr>
          <w:rFonts w:eastAsia="仿宋_GB2312"/>
          <w:sz w:val="32"/>
          <w:szCs w:val="32"/>
        </w:rPr>
      </w:pPr>
      <w:r>
        <w:rPr>
          <w:rFonts w:eastAsia="仿宋_GB2312"/>
          <w:sz w:val="32"/>
          <w:szCs w:val="32"/>
        </w:rPr>
        <w:t>通过绩效自评，进一步分析和掌握部门整体支出使用情况和取得的效果，总结预算管理经验，发现工作中存在的问题和不足，为下一年完善预算管理、提高资金使用效益提供重要的参考依据。</w:t>
      </w:r>
    </w:p>
    <w:p>
      <w:pPr>
        <w:spacing w:line="580" w:lineRule="exact"/>
        <w:ind w:firstLine="640" w:firstLineChars="200"/>
        <w:rPr>
          <w:rFonts w:eastAsia="仿宋_GB2312"/>
          <w:sz w:val="32"/>
          <w:szCs w:val="32"/>
        </w:rPr>
      </w:pPr>
      <w:r>
        <w:rPr>
          <w:rFonts w:eastAsia="仿宋_GB2312"/>
          <w:sz w:val="32"/>
          <w:szCs w:val="32"/>
        </w:rPr>
        <w:t>1.通报问题并督促整改</w:t>
      </w:r>
    </w:p>
    <w:p>
      <w:pPr>
        <w:spacing w:line="580" w:lineRule="exact"/>
        <w:ind w:firstLine="640" w:firstLineChars="200"/>
        <w:rPr>
          <w:rFonts w:eastAsia="仿宋_GB2312"/>
          <w:sz w:val="32"/>
          <w:szCs w:val="32"/>
        </w:rPr>
      </w:pPr>
      <w:r>
        <w:rPr>
          <w:rFonts w:eastAsia="仿宋_GB2312"/>
          <w:sz w:val="32"/>
          <w:szCs w:val="32"/>
        </w:rPr>
        <w:t>对于本次绩效自评过程中发现的问题，及时进行通报，明确整改要求和时限，督促其按时整改到位。对整改不落实或不到位的，将根据情况调整或收回项目资金。</w:t>
      </w:r>
    </w:p>
    <w:p>
      <w:pPr>
        <w:spacing w:line="580" w:lineRule="exact"/>
        <w:ind w:firstLine="640" w:firstLineChars="200"/>
        <w:rPr>
          <w:rFonts w:eastAsia="仿宋_GB2312"/>
          <w:sz w:val="32"/>
          <w:szCs w:val="32"/>
        </w:rPr>
      </w:pPr>
      <w:r>
        <w:rPr>
          <w:rFonts w:eastAsia="仿宋_GB2312"/>
          <w:sz w:val="32"/>
          <w:szCs w:val="32"/>
        </w:rPr>
        <w:t>2.将评价结果与下一年度项目安排、资金分配挂钩</w:t>
      </w:r>
    </w:p>
    <w:p>
      <w:pPr>
        <w:spacing w:line="580" w:lineRule="exact"/>
        <w:ind w:firstLine="640" w:firstLineChars="200"/>
        <w:rPr>
          <w:rFonts w:eastAsia="仿宋_GB2312"/>
          <w:sz w:val="32"/>
          <w:szCs w:val="32"/>
        </w:rPr>
      </w:pPr>
      <w:r>
        <w:rPr>
          <w:rFonts w:eastAsia="仿宋_GB2312"/>
          <w:sz w:val="32"/>
          <w:szCs w:val="32"/>
        </w:rPr>
        <w:t>将各项目资金的绩效评价结果作为下一年度项目安排、资金分配的重要因素，对工作成效明显、资金绩效良好的预算单位及机关处室，在下一年度资金分配中予以倾斜，对于资金绩效不佳、问题较多的项目，适当压减资金分配额度。</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（二）绩效自评结果公开情况</w:t>
      </w:r>
    </w:p>
    <w:p>
      <w:pPr>
        <w:spacing w:line="580" w:lineRule="exact"/>
        <w:ind w:firstLine="640" w:firstLineChars="200"/>
        <w:rPr>
          <w:rFonts w:eastAsia="仿宋_GB2312"/>
          <w:sz w:val="32"/>
          <w:szCs w:val="32"/>
        </w:rPr>
      </w:pPr>
      <w:r>
        <w:rPr>
          <w:rFonts w:eastAsia="仿宋_GB2312"/>
          <w:sz w:val="32"/>
          <w:szCs w:val="32"/>
        </w:rPr>
        <w:t>绩效自评报告通过湖南省商务厅门户网站予以公示，向社会公开，广泛接受群众监督。</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附件：1.部门整体支出绩效评价基础数据表</w:t>
      </w:r>
    </w:p>
    <w:p>
      <w:pPr>
        <w:spacing w:line="580" w:lineRule="exact"/>
        <w:ind w:firstLine="1600" w:firstLineChars="500"/>
        <w:rPr>
          <w:rFonts w:eastAsia="仿宋_GB2312"/>
          <w:sz w:val="32"/>
          <w:szCs w:val="32"/>
        </w:rPr>
      </w:pPr>
      <w:r>
        <w:rPr>
          <w:rFonts w:eastAsia="仿宋_GB2312"/>
          <w:sz w:val="32"/>
          <w:szCs w:val="32"/>
        </w:rPr>
        <w:t>2.部门整体支出绩效自评表</w:t>
      </w:r>
    </w:p>
    <w:p>
      <w:pPr>
        <w:spacing w:line="580" w:lineRule="exact"/>
        <w:ind w:firstLine="1600" w:firstLineChars="500"/>
        <w:rPr>
          <w:rFonts w:eastAsia="仿宋_GB2312"/>
          <w:sz w:val="32"/>
          <w:szCs w:val="32"/>
        </w:rPr>
      </w:pPr>
      <w:r>
        <w:rPr>
          <w:rFonts w:eastAsia="仿宋_GB2312"/>
          <w:sz w:val="32"/>
          <w:szCs w:val="32"/>
        </w:rPr>
        <w:t>3.开放型与流通产业发展专项资金绩效自评表</w:t>
      </w:r>
    </w:p>
    <w:p>
      <w:pPr>
        <w:spacing w:line="580" w:lineRule="exact"/>
        <w:ind w:firstLine="1600" w:firstLineChars="500"/>
        <w:sectPr>
          <w:headerReference r:id="rId7" w:type="default"/>
          <w:footerReference r:id="rId8" w:type="default"/>
          <w:pgSz w:w="11906" w:h="16838"/>
          <w:pgMar w:top="2041" w:right="1474" w:bottom="1757" w:left="1587" w:header="851" w:footer="992" w:gutter="0"/>
          <w:pgNumType w:fmt="numberInDash"/>
          <w:cols w:space="720" w:num="1"/>
          <w:rtlGutter w:val="0"/>
          <w:docGrid w:type="linesAndChars" w:linePitch="593" w:charSpace="0"/>
        </w:sectPr>
      </w:pPr>
      <w:r>
        <w:rPr>
          <w:rFonts w:eastAsia="仿宋_GB2312"/>
          <w:sz w:val="32"/>
          <w:szCs w:val="32"/>
        </w:rPr>
        <w:t>4.项目支出绩效自评表</w:t>
      </w:r>
    </w:p>
    <w:p>
      <w:pPr>
        <w:widowControl/>
        <w:jc w:val="left"/>
        <w:outlineLvl w:val="0"/>
        <w:rPr>
          <w:rFonts w:eastAsia="黑体"/>
          <w:sz w:val="32"/>
          <w:szCs w:val="32"/>
        </w:rPr>
      </w:pPr>
      <w:r>
        <w:rPr>
          <w:rFonts w:hAnsi="Times New Roman Regular" w:eastAsia="黑体"/>
          <w:sz w:val="32"/>
          <w:szCs w:val="32"/>
        </w:rPr>
        <w:t>附件</w:t>
      </w:r>
      <w:r>
        <w:rPr>
          <w:rFonts w:eastAsia="黑体"/>
          <w:sz w:val="32"/>
          <w:szCs w:val="32"/>
        </w:rPr>
        <w:t>1</w:t>
      </w:r>
    </w:p>
    <w:p>
      <w:pPr>
        <w:widowControl/>
        <w:spacing w:after="200" w:line="560" w:lineRule="exact"/>
        <w:jc w:val="center"/>
        <w:rPr>
          <w:rFonts w:eastAsia="方正小标宋简体"/>
          <w:kern w:val="0"/>
          <w:sz w:val="36"/>
          <w:szCs w:val="36"/>
        </w:rPr>
      </w:pPr>
      <w:r>
        <w:rPr>
          <w:rFonts w:eastAsia="方正小标宋简体"/>
          <w:kern w:val="0"/>
          <w:sz w:val="36"/>
          <w:szCs w:val="36"/>
        </w:rPr>
        <w:t>2024</w:t>
      </w:r>
      <w:r>
        <w:rPr>
          <w:rFonts w:hAnsi="Times New Roman Regular" w:eastAsia="方正小标宋简体"/>
          <w:kern w:val="0"/>
          <w:sz w:val="36"/>
          <w:szCs w:val="36"/>
        </w:rPr>
        <w:t>年部门整体支出绩效评价基础数据表</w:t>
      </w:r>
    </w:p>
    <w:tbl>
      <w:tblPr>
        <w:tblStyle w:val="11"/>
        <w:tblW w:w="5371" w:type="pct"/>
        <w:tblInd w:w="-494" w:type="dxa"/>
        <w:tblLayout w:type="fixed"/>
        <w:tblCellMar>
          <w:top w:w="0" w:type="dxa"/>
          <w:left w:w="108" w:type="dxa"/>
          <w:bottom w:w="0" w:type="dxa"/>
          <w:right w:w="108" w:type="dxa"/>
        </w:tblCellMar>
      </w:tblPr>
      <w:tblGrid>
        <w:gridCol w:w="3483"/>
        <w:gridCol w:w="1102"/>
        <w:gridCol w:w="777"/>
        <w:gridCol w:w="1281"/>
        <w:gridCol w:w="966"/>
        <w:gridCol w:w="964"/>
        <w:gridCol w:w="1160"/>
      </w:tblGrid>
      <w:tr>
        <w:trPr>
          <w:trHeight w:val="23" w:hRule="atLeast"/>
        </w:trPr>
        <w:tc>
          <w:tcPr>
            <w:tcW w:w="1789" w:type="pct"/>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财政供养人员情况（人）</w:t>
            </w:r>
          </w:p>
        </w:tc>
        <w:tc>
          <w:tcPr>
            <w:tcW w:w="965"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编制数</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2024</w:t>
            </w:r>
            <w:r>
              <w:rPr>
                <w:rFonts w:hint="default" w:hAnsi="Times New Roman Regular" w:eastAsia="仿宋"/>
                <w:kern w:val="0"/>
                <w:sz w:val="22"/>
                <w:szCs w:val="22"/>
              </w:rPr>
              <w:t>年实际在职人数</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控制率</w:t>
            </w:r>
          </w:p>
        </w:tc>
      </w:tr>
      <w:tr>
        <w:trPr>
          <w:trHeight w:val="23" w:hRule="atLeast"/>
        </w:trPr>
        <w:tc>
          <w:tcPr>
            <w:tcW w:w="1789" w:type="pct"/>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965"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234</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220</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94.02%</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经费控制情况（万元）</w:t>
            </w:r>
          </w:p>
        </w:tc>
        <w:tc>
          <w:tcPr>
            <w:tcW w:w="965"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2023</w:t>
            </w:r>
            <w:r>
              <w:rPr>
                <w:rFonts w:hint="default" w:hAnsi="Times New Roman Regular" w:eastAsia="仿宋"/>
                <w:kern w:val="0"/>
                <w:sz w:val="22"/>
                <w:szCs w:val="22"/>
              </w:rPr>
              <w:t>年决算数</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2024</w:t>
            </w:r>
            <w:r>
              <w:rPr>
                <w:rFonts w:hint="default" w:hAnsi="Times New Roman Regular" w:eastAsia="仿宋"/>
                <w:kern w:val="0"/>
                <w:sz w:val="22"/>
                <w:szCs w:val="22"/>
              </w:rPr>
              <w:t>年预算数</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2024</w:t>
            </w:r>
            <w:r>
              <w:rPr>
                <w:rFonts w:hint="default" w:hAnsi="Times New Roman Regular" w:eastAsia="仿宋"/>
                <w:kern w:val="0"/>
                <w:sz w:val="22"/>
                <w:szCs w:val="22"/>
              </w:rPr>
              <w:t>年决算数</w:t>
            </w:r>
          </w:p>
        </w:tc>
      </w:tr>
      <w:tr>
        <w:trPr>
          <w:trHeight w:val="301"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三公经费</w:t>
            </w:r>
          </w:p>
        </w:tc>
        <w:tc>
          <w:tcPr>
            <w:tcW w:w="1880"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467.86</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598.50</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470.20</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w:t>
            </w:r>
            <w:r>
              <w:rPr>
                <w:rFonts w:hint="default" w:hAnsi="Times New Roman Regular" w:eastAsia="仿宋"/>
                <w:kern w:val="0"/>
                <w:sz w:val="22"/>
                <w:szCs w:val="22"/>
              </w:rPr>
              <w:t>、公务用车购置和维护经费</w:t>
            </w:r>
          </w:p>
        </w:tc>
        <w:tc>
          <w:tcPr>
            <w:tcW w:w="1880"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89.18</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120</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39.74</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其中：公车购置</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17.98</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21</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公车运行维护</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71.20</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99</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39.74</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r>
              <w:rPr>
                <w:rFonts w:hint="default" w:hAnsi="Times New Roman Regular" w:eastAsia="仿宋"/>
                <w:kern w:val="0"/>
                <w:sz w:val="22"/>
                <w:szCs w:val="22"/>
              </w:rPr>
              <w:t>、出国经费</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365.59</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422.50</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417.20</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r>
              <w:rPr>
                <w:rFonts w:hint="default" w:hAnsi="Times New Roman Regular" w:eastAsia="仿宋"/>
                <w:kern w:val="0"/>
                <w:sz w:val="22"/>
                <w:szCs w:val="22"/>
              </w:rPr>
              <w:t>、公务接待</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13.09</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56</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13.25</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项目支出：</w:t>
            </w:r>
          </w:p>
        </w:tc>
        <w:tc>
          <w:tcPr>
            <w:tcW w:w="1880"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rPr>
          <w:trHeight w:val="90"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w:t>
            </w:r>
            <w:r>
              <w:rPr>
                <w:rFonts w:hint="default" w:hAnsi="Times New Roman Regular" w:eastAsia="仿宋"/>
                <w:kern w:val="0"/>
                <w:sz w:val="22"/>
                <w:szCs w:val="22"/>
              </w:rPr>
              <w:t>、业务工作经费</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2,366.68</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3,451.27</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3,041.66</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r>
              <w:rPr>
                <w:rFonts w:hint="default" w:hAnsi="Times New Roman Regular" w:eastAsia="仿宋"/>
                <w:kern w:val="0"/>
                <w:sz w:val="22"/>
                <w:szCs w:val="22"/>
              </w:rPr>
              <w:t>、其他</w:t>
            </w:r>
          </w:p>
        </w:tc>
        <w:tc>
          <w:tcPr>
            <w:tcW w:w="1880"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16,139.39</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1,236.29</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9,258.49</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r>
              <w:rPr>
                <w:rFonts w:hint="default" w:hAnsi="Times New Roman Regular" w:eastAsia="仿宋"/>
                <w:kern w:val="0"/>
                <w:sz w:val="22"/>
                <w:szCs w:val="22"/>
              </w:rPr>
              <w:t>、省级开放型与流通产业发展专项</w:t>
            </w:r>
          </w:p>
        </w:tc>
        <w:tc>
          <w:tcPr>
            <w:tcW w:w="1880"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195,240</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公用经费</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1,766.29</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1,513.01</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1,592.27</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其中：办公经费</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71.27</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50.40</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56.07</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水费、电费、差旅费</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348.63</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217.5</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288.21</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会议费、培训费</w:t>
            </w:r>
          </w:p>
        </w:tc>
        <w:tc>
          <w:tcPr>
            <w:tcW w:w="1880"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3.74</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14.44</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10.48</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政府采购金额</w:t>
            </w:r>
          </w:p>
        </w:tc>
        <w:tc>
          <w:tcPr>
            <w:tcW w:w="1880" w:type="dxa"/>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6,840.21</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100.34</w:t>
            </w: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
                <w:kern w:val="0"/>
                <w:sz w:val="22"/>
                <w:szCs w:val="22"/>
              </w:rPr>
            </w:pPr>
            <w:r>
              <w:rPr>
                <w:rFonts w:hint="default" w:eastAsia="仿宋"/>
                <w:kern w:val="0"/>
                <w:sz w:val="22"/>
                <w:szCs w:val="22"/>
              </w:rPr>
              <w:t>5,825.95</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部门基本支出预算调整</w:t>
            </w:r>
          </w:p>
        </w:tc>
        <w:tc>
          <w:tcPr>
            <w:tcW w:w="965"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w:t>
            </w:r>
          </w:p>
        </w:tc>
        <w:tc>
          <w:tcPr>
            <w:tcW w:w="1154"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1090" w:type="pct"/>
            <w:gridSpan w:val="2"/>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340.11</w:t>
            </w:r>
          </w:p>
        </w:tc>
      </w:tr>
      <w:tr>
        <w:trPr>
          <w:trHeight w:val="23" w:hRule="atLeast"/>
        </w:trPr>
        <w:tc>
          <w:tcPr>
            <w:tcW w:w="1789" w:type="pct"/>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楼堂馆所控制情况</w:t>
            </w:r>
          </w:p>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w:t>
            </w:r>
            <w:r>
              <w:rPr>
                <w:rFonts w:hint="default" w:eastAsia="仿宋"/>
                <w:kern w:val="0"/>
                <w:sz w:val="22"/>
                <w:szCs w:val="22"/>
              </w:rPr>
              <w:t>2024</w:t>
            </w:r>
            <w:r>
              <w:rPr>
                <w:rFonts w:hint="default" w:hAnsi="Times New Roman Regular" w:eastAsia="仿宋"/>
                <w:kern w:val="0"/>
                <w:sz w:val="22"/>
                <w:szCs w:val="22"/>
              </w:rPr>
              <w:t>年完工项目）</w:t>
            </w:r>
          </w:p>
          <w:p>
            <w:pPr>
              <w:keepNext w:val="0"/>
              <w:keepLines w:val="0"/>
              <w:widowControl/>
              <w:suppressLineNumbers w:val="0"/>
              <w:spacing w:before="0" w:beforeAutospacing="0" w:after="0" w:afterAutospacing="0" w:line="0" w:lineRule="atLeast"/>
              <w:ind w:left="0" w:right="0"/>
              <w:jc w:val="center"/>
              <w:rPr>
                <w:rFonts w:hint="default" w:eastAsia="仿宋"/>
                <w:kern w:val="0"/>
                <w:sz w:val="22"/>
              </w:rPr>
            </w:pPr>
            <w:r>
              <w:rPr>
                <w:rFonts w:hint="default" w:hAnsi="Times New Roman Regular" w:eastAsia="仿宋"/>
                <w:kern w:val="0"/>
                <w:sz w:val="22"/>
              </w:rPr>
              <w:t>　</w:t>
            </w:r>
          </w:p>
        </w:tc>
        <w:tc>
          <w:tcPr>
            <w:tcW w:w="56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批复规模</w:t>
            </w:r>
          </w:p>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w:t>
            </w:r>
          </w:p>
        </w:tc>
        <w:tc>
          <w:tcPr>
            <w:tcW w:w="399" w:type="pc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实际规模（㎡）</w:t>
            </w:r>
          </w:p>
        </w:tc>
        <w:tc>
          <w:tcPr>
            <w:tcW w:w="658" w:type="pc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规模控制率</w:t>
            </w:r>
          </w:p>
        </w:tc>
        <w:tc>
          <w:tcPr>
            <w:tcW w:w="496" w:type="pc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预算投资（万元）</w:t>
            </w:r>
          </w:p>
        </w:tc>
        <w:tc>
          <w:tcPr>
            <w:tcW w:w="495" w:type="pc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实际投资（万元）</w:t>
            </w:r>
          </w:p>
        </w:tc>
        <w:tc>
          <w:tcPr>
            <w:tcW w:w="595" w:type="pc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投资概算控制率</w:t>
            </w:r>
          </w:p>
        </w:tc>
      </w:tr>
      <w:tr>
        <w:trPr>
          <w:trHeight w:val="23" w:hRule="atLeast"/>
        </w:trPr>
        <w:tc>
          <w:tcPr>
            <w:tcW w:w="1789"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rPr>
            </w:pPr>
          </w:p>
        </w:tc>
        <w:tc>
          <w:tcPr>
            <w:tcW w:w="56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　</w:t>
            </w:r>
          </w:p>
        </w:tc>
        <w:tc>
          <w:tcPr>
            <w:tcW w:w="39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　</w:t>
            </w:r>
          </w:p>
        </w:tc>
        <w:tc>
          <w:tcPr>
            <w:tcW w:w="658"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　</w:t>
            </w:r>
          </w:p>
        </w:tc>
        <w:tc>
          <w:tcPr>
            <w:tcW w:w="49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　</w:t>
            </w:r>
          </w:p>
        </w:tc>
        <w:tc>
          <w:tcPr>
            <w:tcW w:w="495"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　</w:t>
            </w:r>
          </w:p>
        </w:tc>
        <w:tc>
          <w:tcPr>
            <w:tcW w:w="595"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　</w:t>
            </w:r>
          </w:p>
        </w:tc>
      </w:tr>
      <w:tr>
        <w:trPr>
          <w:trHeight w:val="23" w:hRule="atLeast"/>
        </w:trPr>
        <w:tc>
          <w:tcPr>
            <w:tcW w:w="1789" w:type="pct"/>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hAnsi="Times New Roman Regular" w:eastAsia="仿宋"/>
                <w:kern w:val="0"/>
                <w:sz w:val="22"/>
                <w:szCs w:val="22"/>
              </w:rPr>
              <w:t>厉行节约保障措施</w:t>
            </w:r>
          </w:p>
        </w:tc>
        <w:tc>
          <w:tcPr>
            <w:tcW w:w="3210" w:type="pct"/>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hAnsi="Times New Roman Regular" w:eastAsia="仿宋"/>
                <w:kern w:val="0"/>
                <w:sz w:val="22"/>
                <w:szCs w:val="22"/>
              </w:rPr>
              <w:t>制订</w:t>
            </w:r>
            <w:r>
              <w:rPr>
                <w:rFonts w:hint="eastAsia" w:hAnsi="Times New Roman Regular" w:eastAsia="仿宋"/>
                <w:kern w:val="0"/>
                <w:sz w:val="22"/>
                <w:szCs w:val="22"/>
                <w:lang w:eastAsia="zh-CN"/>
              </w:rPr>
              <w:t>了</w:t>
            </w:r>
            <w:r>
              <w:rPr>
                <w:rFonts w:hint="default" w:hAnsi="Times New Roman Regular" w:eastAsia="仿宋"/>
                <w:kern w:val="0"/>
                <w:sz w:val="22"/>
                <w:szCs w:val="22"/>
              </w:rPr>
              <w:t>《湖南省商务厅机关财务管理制度与实施细则》、《湖南省商务厅机关采购管理实施办法》、《湖南省商务厅固定资产管理实施办法》等规章制度，明确了经费审批权限及程序、经费预算管理、财务经费管理、资产购置与处置、财务监督等。建立公用经费标准定额体系，开展公用经费使用监督和绩效评估，进一步落实厉行节约的各项规定，确保</w:t>
            </w:r>
            <w:r>
              <w:rPr>
                <w:rFonts w:hint="default" w:eastAsia="仿宋"/>
                <w:kern w:val="0"/>
                <w:sz w:val="22"/>
                <w:szCs w:val="22"/>
              </w:rPr>
              <w:t>“</w:t>
            </w:r>
            <w:r>
              <w:rPr>
                <w:rFonts w:hint="default" w:hAnsi="Times New Roman Regular" w:eastAsia="仿宋"/>
                <w:kern w:val="0"/>
                <w:sz w:val="22"/>
                <w:szCs w:val="22"/>
              </w:rPr>
              <w:t>三公经费</w:t>
            </w:r>
            <w:r>
              <w:rPr>
                <w:rFonts w:hint="default" w:eastAsia="仿宋"/>
                <w:kern w:val="0"/>
                <w:sz w:val="22"/>
                <w:szCs w:val="22"/>
              </w:rPr>
              <w:t>”</w:t>
            </w:r>
            <w:r>
              <w:rPr>
                <w:rFonts w:hint="default" w:hAnsi="Times New Roman Regular" w:eastAsia="仿宋"/>
                <w:kern w:val="0"/>
                <w:sz w:val="22"/>
                <w:szCs w:val="22"/>
              </w:rPr>
              <w:t>使用合理合规等。上述制度规定基本执行到位。</w:t>
            </w:r>
          </w:p>
        </w:tc>
      </w:tr>
    </w:tbl>
    <w:p>
      <w:pPr>
        <w:rPr>
          <w:rFonts w:eastAsia="黑体"/>
          <w:sz w:val="32"/>
        </w:rPr>
      </w:pPr>
      <w:r>
        <w:rPr>
          <w:rFonts w:eastAsia="黑体"/>
          <w:sz w:val="32"/>
        </w:rPr>
        <w:br w:type="page"/>
      </w:r>
      <w:r>
        <w:rPr>
          <w:rFonts w:hAnsi="Times New Roman Regular" w:eastAsia="黑体"/>
          <w:sz w:val="32"/>
        </w:rPr>
        <w:t>附件</w:t>
      </w:r>
      <w:r>
        <w:rPr>
          <w:rFonts w:eastAsia="黑体"/>
          <w:sz w:val="32"/>
        </w:rPr>
        <w:t>2</w:t>
      </w:r>
    </w:p>
    <w:p>
      <w:pPr>
        <w:widowControl/>
        <w:spacing w:after="200" w:line="560" w:lineRule="exact"/>
        <w:jc w:val="center"/>
        <w:rPr>
          <w:rFonts w:eastAsia="方正小标宋简体"/>
          <w:kern w:val="0"/>
          <w:sz w:val="36"/>
          <w:szCs w:val="36"/>
        </w:rPr>
      </w:pPr>
      <w:r>
        <w:rPr>
          <w:rFonts w:eastAsia="方正小标宋简体"/>
          <w:kern w:val="0"/>
          <w:sz w:val="36"/>
          <w:szCs w:val="36"/>
        </w:rPr>
        <w:t>2024</w:t>
      </w:r>
      <w:r>
        <w:rPr>
          <w:rFonts w:hAnsi="Times New Roman Regular" w:eastAsia="方正小标宋简体"/>
          <w:kern w:val="0"/>
          <w:sz w:val="36"/>
          <w:szCs w:val="36"/>
        </w:rPr>
        <w:t>年度部门整体支出绩效自评表</w:t>
      </w:r>
    </w:p>
    <w:tbl>
      <w:tblPr>
        <w:tblStyle w:val="11"/>
        <w:tblW w:w="10079" w:type="dxa"/>
        <w:jc w:val="center"/>
        <w:tblLayout w:type="fixed"/>
        <w:tblCellMar>
          <w:top w:w="0" w:type="dxa"/>
          <w:left w:w="108" w:type="dxa"/>
          <w:bottom w:w="0" w:type="dxa"/>
          <w:right w:w="108" w:type="dxa"/>
        </w:tblCellMar>
      </w:tblPr>
      <w:tblGrid>
        <w:gridCol w:w="865"/>
        <w:gridCol w:w="678"/>
        <w:gridCol w:w="640"/>
        <w:gridCol w:w="1981"/>
        <w:gridCol w:w="1362"/>
        <w:gridCol w:w="1546"/>
        <w:gridCol w:w="978"/>
        <w:gridCol w:w="1052"/>
        <w:gridCol w:w="977"/>
      </w:tblGrid>
      <w:tr>
        <w:trPr>
          <w:trHeight w:val="23" w:hRule="atLeast"/>
          <w:jc w:val="center"/>
        </w:trPr>
        <w:tc>
          <w:tcPr>
            <w:tcW w:w="218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省级预算部门、单位名称</w:t>
            </w:r>
          </w:p>
        </w:tc>
        <w:tc>
          <w:tcPr>
            <w:tcW w:w="7896" w:type="dxa"/>
            <w:gridSpan w:val="6"/>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湖南省商务厅　</w:t>
            </w:r>
          </w:p>
        </w:tc>
      </w:tr>
      <w:tr>
        <w:trPr>
          <w:trHeight w:val="23" w:hRule="atLeast"/>
          <w:jc w:val="center"/>
        </w:trPr>
        <w:tc>
          <w:tcPr>
            <w:tcW w:w="865" w:type="dxa"/>
            <w:vMerge w:val="restart"/>
            <w:tcBorders>
              <w:top w:val="nil"/>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年度预</w:t>
            </w: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算申请</w:t>
            </w:r>
            <w:r>
              <w:rPr>
                <w:rFonts w:hint="default" w:eastAsia="仿宋_GB2312"/>
                <w:color w:val="000000"/>
                <w:sz w:val="20"/>
                <w:szCs w:val="20"/>
              </w:rPr>
              <w:br w:type="textWrapping"/>
            </w:r>
            <w:r>
              <w:rPr>
                <w:rFonts w:hint="default" w:hAnsi="Times New Roman Regular" w:eastAsia="仿宋_GB2312"/>
                <w:color w:val="000000"/>
                <w:sz w:val="20"/>
                <w:szCs w:val="20"/>
              </w:rPr>
              <w:t>（万元）</w:t>
            </w:r>
          </w:p>
        </w:tc>
        <w:tc>
          <w:tcPr>
            <w:tcW w:w="1318" w:type="dxa"/>
            <w:gridSpan w:val="2"/>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p>
        </w:tc>
        <w:tc>
          <w:tcPr>
            <w:tcW w:w="198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sz w:val="20"/>
                <w:szCs w:val="20"/>
              </w:rPr>
              <w:t>年初预算数</w:t>
            </w:r>
          </w:p>
        </w:tc>
        <w:tc>
          <w:tcPr>
            <w:tcW w:w="1362"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sz w:val="20"/>
                <w:szCs w:val="20"/>
              </w:rPr>
              <w:t>全年预算数</w:t>
            </w:r>
          </w:p>
        </w:tc>
        <w:tc>
          <w:tcPr>
            <w:tcW w:w="1546"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sz w:val="20"/>
                <w:szCs w:val="20"/>
              </w:rPr>
              <w:t>全年执行数</w:t>
            </w:r>
          </w:p>
        </w:tc>
        <w:tc>
          <w:tcPr>
            <w:tcW w:w="978"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sz w:val="20"/>
                <w:szCs w:val="20"/>
              </w:rPr>
              <w:t>分值</w:t>
            </w:r>
          </w:p>
        </w:tc>
        <w:tc>
          <w:tcPr>
            <w:tcW w:w="1052"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sz w:val="20"/>
                <w:szCs w:val="20"/>
              </w:rPr>
              <w:t>执行率</w:t>
            </w:r>
          </w:p>
        </w:tc>
        <w:tc>
          <w:tcPr>
            <w:tcW w:w="9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sz w:val="20"/>
                <w:szCs w:val="20"/>
              </w:rPr>
              <w:t>自评得分</w:t>
            </w:r>
          </w:p>
        </w:tc>
      </w:tr>
      <w:tr>
        <w:trPr>
          <w:trHeight w:val="23" w:hRule="atLeast"/>
          <w:jc w:val="center"/>
        </w:trPr>
        <w:tc>
          <w:tcPr>
            <w:tcW w:w="865" w:type="dxa"/>
            <w:vMerge w:val="continue"/>
            <w:tcBorders>
              <w:top w:val="nil"/>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p>
        </w:tc>
        <w:tc>
          <w:tcPr>
            <w:tcW w:w="1318" w:type="dxa"/>
            <w:gridSpan w:val="2"/>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hAnsi="Times New Roman Regular" w:eastAsia="仿宋_GB2312"/>
                <w:color w:val="000000"/>
                <w:sz w:val="20"/>
                <w:szCs w:val="20"/>
              </w:rPr>
              <w:t>年度资金总额</w:t>
            </w:r>
          </w:p>
        </w:tc>
        <w:tc>
          <w:tcPr>
            <w:tcW w:w="198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eastAsia="仿宋_GB2312"/>
                <w:sz w:val="20"/>
                <w:szCs w:val="20"/>
              </w:rPr>
              <w:t>17</w:t>
            </w:r>
            <w:r>
              <w:rPr>
                <w:rFonts w:hint="default" w:eastAsia="仿宋"/>
                <w:kern w:val="0"/>
                <w:sz w:val="22"/>
                <w:szCs w:val="22"/>
              </w:rPr>
              <w:t>,</w:t>
            </w:r>
            <w:r>
              <w:rPr>
                <w:rFonts w:hint="default" w:eastAsia="仿宋_GB2312"/>
                <w:sz w:val="20"/>
                <w:szCs w:val="20"/>
              </w:rPr>
              <w:t>270.56</w:t>
            </w:r>
          </w:p>
        </w:tc>
        <w:tc>
          <w:tcPr>
            <w:tcW w:w="1362"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eastAsia="仿宋_GB2312"/>
                <w:sz w:val="20"/>
                <w:szCs w:val="20"/>
              </w:rPr>
              <w:t>29,270.30</w:t>
            </w:r>
          </w:p>
        </w:tc>
        <w:tc>
          <w:tcPr>
            <w:tcW w:w="1546"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eastAsia="仿宋_GB2312"/>
                <w:sz w:val="20"/>
                <w:szCs w:val="20"/>
              </w:rPr>
              <w:t>22,308.72</w:t>
            </w:r>
          </w:p>
        </w:tc>
        <w:tc>
          <w:tcPr>
            <w:tcW w:w="978"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eastAsia="仿宋_GB2312"/>
                <w:b/>
                <w:bCs/>
                <w:sz w:val="20"/>
                <w:szCs w:val="20"/>
              </w:rPr>
              <w:t>10</w:t>
            </w:r>
          </w:p>
        </w:tc>
        <w:tc>
          <w:tcPr>
            <w:tcW w:w="1052"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eastAsia="仿宋_GB2312"/>
                <w:sz w:val="20"/>
                <w:szCs w:val="20"/>
              </w:rPr>
              <w:t>76.22%</w:t>
            </w:r>
          </w:p>
        </w:tc>
        <w:tc>
          <w:tcPr>
            <w:tcW w:w="9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center"/>
              <w:rPr>
                <w:rFonts w:hint="default" w:eastAsia="仿宋_GB2312"/>
                <w:sz w:val="20"/>
                <w:szCs w:val="20"/>
              </w:rPr>
            </w:pPr>
            <w:r>
              <w:rPr>
                <w:rFonts w:hint="default" w:eastAsia="仿宋_GB2312"/>
                <w:sz w:val="20"/>
                <w:szCs w:val="20"/>
              </w:rPr>
              <w:t>7</w:t>
            </w:r>
          </w:p>
        </w:tc>
      </w:tr>
      <w:tr>
        <w:trPr>
          <w:trHeight w:val="23" w:hRule="atLeast"/>
          <w:jc w:val="center"/>
        </w:trPr>
        <w:tc>
          <w:tcPr>
            <w:tcW w:w="86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c>
          <w:tcPr>
            <w:tcW w:w="4661"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按收入性质分：</w:t>
            </w:r>
          </w:p>
        </w:tc>
        <w:tc>
          <w:tcPr>
            <w:tcW w:w="4553"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按支出性质分：</w:t>
            </w:r>
          </w:p>
        </w:tc>
      </w:tr>
      <w:tr>
        <w:trPr>
          <w:trHeight w:val="23" w:hRule="atLeast"/>
          <w:jc w:val="center"/>
        </w:trPr>
        <w:tc>
          <w:tcPr>
            <w:tcW w:w="86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c>
          <w:tcPr>
            <w:tcW w:w="4661"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其中：一般公共预算：</w:t>
            </w:r>
            <w:r>
              <w:rPr>
                <w:rFonts w:hint="default" w:eastAsia="仿宋_GB2312"/>
                <w:color w:val="000000"/>
                <w:sz w:val="20"/>
                <w:szCs w:val="20"/>
              </w:rPr>
              <w:t>22,297.80</w:t>
            </w:r>
          </w:p>
        </w:tc>
        <w:tc>
          <w:tcPr>
            <w:tcW w:w="4553"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其中：基本支出：</w:t>
            </w:r>
            <w:r>
              <w:rPr>
                <w:rFonts w:hint="default" w:eastAsia="仿宋_GB2312"/>
                <w:color w:val="000000"/>
                <w:sz w:val="20"/>
                <w:szCs w:val="20"/>
              </w:rPr>
              <w:t>10,008.56</w:t>
            </w:r>
          </w:p>
        </w:tc>
      </w:tr>
      <w:tr>
        <w:trPr>
          <w:trHeight w:val="23" w:hRule="atLeast"/>
          <w:jc w:val="center"/>
        </w:trPr>
        <w:tc>
          <w:tcPr>
            <w:tcW w:w="86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c>
          <w:tcPr>
            <w:tcW w:w="4661"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800" w:firstLineChars="400"/>
              <w:jc w:val="left"/>
              <w:rPr>
                <w:rFonts w:hint="default" w:eastAsia="仿宋_GB2312"/>
                <w:color w:val="000000"/>
                <w:sz w:val="20"/>
                <w:szCs w:val="20"/>
              </w:rPr>
            </w:pPr>
            <w:r>
              <w:rPr>
                <w:rFonts w:hint="default" w:hAnsi="Times New Roman Regular" w:eastAsia="仿宋_GB2312"/>
                <w:color w:val="000000"/>
                <w:sz w:val="20"/>
                <w:szCs w:val="20"/>
              </w:rPr>
              <w:t>政府性基金拨款：</w:t>
            </w:r>
          </w:p>
        </w:tc>
        <w:tc>
          <w:tcPr>
            <w:tcW w:w="4553"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600" w:firstLineChars="300"/>
              <w:jc w:val="left"/>
              <w:rPr>
                <w:rFonts w:hint="default" w:eastAsia="仿宋_GB2312"/>
                <w:color w:val="000000"/>
                <w:sz w:val="20"/>
                <w:szCs w:val="20"/>
              </w:rPr>
            </w:pPr>
            <w:r>
              <w:rPr>
                <w:rFonts w:hint="default" w:hAnsi="Times New Roman Regular" w:eastAsia="仿宋_GB2312"/>
                <w:color w:val="000000"/>
                <w:sz w:val="20"/>
                <w:szCs w:val="20"/>
              </w:rPr>
              <w:t>项目支出：</w:t>
            </w:r>
            <w:r>
              <w:rPr>
                <w:rFonts w:hint="default" w:eastAsia="仿宋_GB2312"/>
                <w:color w:val="000000"/>
                <w:sz w:val="20"/>
                <w:szCs w:val="20"/>
              </w:rPr>
              <w:t>12,300.15</w:t>
            </w:r>
          </w:p>
        </w:tc>
      </w:tr>
      <w:tr>
        <w:trPr>
          <w:trHeight w:val="23" w:hRule="atLeast"/>
          <w:jc w:val="center"/>
        </w:trPr>
        <w:tc>
          <w:tcPr>
            <w:tcW w:w="86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c>
          <w:tcPr>
            <w:tcW w:w="4661"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纳入专户管理的非税收入拨款：</w:t>
            </w:r>
          </w:p>
        </w:tc>
        <w:tc>
          <w:tcPr>
            <w:tcW w:w="4553"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r>
      <w:tr>
        <w:trPr>
          <w:trHeight w:val="23" w:hRule="atLeast"/>
          <w:jc w:val="center"/>
        </w:trPr>
        <w:tc>
          <w:tcPr>
            <w:tcW w:w="865"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c>
          <w:tcPr>
            <w:tcW w:w="4661"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1400" w:firstLineChars="700"/>
              <w:jc w:val="left"/>
              <w:rPr>
                <w:rFonts w:hint="default" w:eastAsia="仿宋_GB2312"/>
                <w:color w:val="000000"/>
                <w:sz w:val="20"/>
                <w:szCs w:val="20"/>
              </w:rPr>
            </w:pPr>
            <w:r>
              <w:rPr>
                <w:rFonts w:hint="default" w:hAnsi="Times New Roman Regular" w:eastAsia="仿宋_GB2312"/>
                <w:color w:val="000000"/>
                <w:sz w:val="20"/>
                <w:szCs w:val="20"/>
              </w:rPr>
              <w:t>其他资金：</w:t>
            </w:r>
            <w:r>
              <w:rPr>
                <w:rFonts w:hint="default" w:eastAsia="仿宋_GB2312"/>
                <w:color w:val="000000"/>
                <w:sz w:val="20"/>
                <w:szCs w:val="20"/>
              </w:rPr>
              <w:t>10.91</w:t>
            </w:r>
          </w:p>
        </w:tc>
        <w:tc>
          <w:tcPr>
            <w:tcW w:w="4553" w:type="dxa"/>
            <w:gridSpan w:val="4"/>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r>
      <w:tr>
        <w:trPr>
          <w:trHeight w:val="23" w:hRule="atLeast"/>
          <w:jc w:val="center"/>
        </w:trPr>
        <w:tc>
          <w:tcPr>
            <w:tcW w:w="86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年度总体目标</w:t>
            </w:r>
          </w:p>
        </w:tc>
        <w:tc>
          <w:tcPr>
            <w:tcW w:w="46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预期目标</w:t>
            </w:r>
          </w:p>
        </w:tc>
        <w:tc>
          <w:tcPr>
            <w:tcW w:w="4553"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实际完成情况　</w:t>
            </w: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tc>
        <w:tc>
          <w:tcPr>
            <w:tcW w:w="46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hAnsi="Times New Roman Regular" w:eastAsia="仿宋_GB2312"/>
                <w:color w:val="000000"/>
                <w:sz w:val="20"/>
                <w:szCs w:val="20"/>
              </w:rPr>
              <w:t>深入学习贯彻党的二十大精神，把党的二十大精神落实到商务和开放型经济发展各方面，贯彻落实省委经济工作会议、全国商务工作会议等部署要求。突出抓招商、稳外贸、促消费，着力优化平台体系、服务体系、通道体系、人才体系，奋力打造内陆地区改革开放高地，凝心聚力贡献商务力量。力争全年实现外贸进出口增长</w:t>
            </w:r>
            <w:r>
              <w:rPr>
                <w:rFonts w:hint="default" w:eastAsia="仿宋_GB2312"/>
                <w:color w:val="000000"/>
                <w:sz w:val="20"/>
                <w:szCs w:val="20"/>
              </w:rPr>
              <w:t>5%</w:t>
            </w:r>
            <w:r>
              <w:rPr>
                <w:rFonts w:hint="default" w:hAnsi="Times New Roman Regular" w:eastAsia="仿宋_GB2312"/>
                <w:color w:val="000000"/>
                <w:sz w:val="20"/>
                <w:szCs w:val="20"/>
              </w:rPr>
              <w:t>以上，利用外资增长</w:t>
            </w:r>
            <w:r>
              <w:rPr>
                <w:rFonts w:hint="default" w:eastAsia="仿宋_GB2312"/>
                <w:color w:val="000000"/>
                <w:sz w:val="20"/>
                <w:szCs w:val="20"/>
              </w:rPr>
              <w:t>10%</w:t>
            </w:r>
            <w:r>
              <w:rPr>
                <w:rFonts w:hint="default" w:hAnsi="Times New Roman Regular" w:eastAsia="仿宋_GB2312"/>
                <w:color w:val="000000"/>
                <w:sz w:val="20"/>
                <w:szCs w:val="20"/>
              </w:rPr>
              <w:t>以上，社会消费零售品总额增长</w:t>
            </w:r>
            <w:r>
              <w:rPr>
                <w:rFonts w:hint="default" w:eastAsia="仿宋_GB2312"/>
                <w:color w:val="000000"/>
                <w:sz w:val="20"/>
                <w:szCs w:val="20"/>
              </w:rPr>
              <w:t>5%</w:t>
            </w:r>
            <w:r>
              <w:rPr>
                <w:rFonts w:hint="default" w:hAnsi="Times New Roman Regular" w:eastAsia="仿宋_GB2312"/>
                <w:color w:val="000000"/>
                <w:sz w:val="20"/>
                <w:szCs w:val="20"/>
              </w:rPr>
              <w:t>以上。</w:t>
            </w:r>
          </w:p>
        </w:tc>
        <w:tc>
          <w:tcPr>
            <w:tcW w:w="4553"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楷体_GB2312"/>
                <w:color w:val="000000"/>
                <w:sz w:val="20"/>
                <w:szCs w:val="20"/>
              </w:rPr>
            </w:pPr>
            <w:r>
              <w:rPr>
                <w:rFonts w:hint="default" w:eastAsia="仿宋_GB2312"/>
                <w:color w:val="000000"/>
                <w:sz w:val="20"/>
                <w:szCs w:val="20"/>
              </w:rPr>
              <w:t>1-</w:t>
            </w:r>
            <w:r>
              <w:rPr>
                <w:rFonts w:hint="default" w:hAnsi="Times New Roman Regular" w:eastAsia="仿宋_GB2312"/>
                <w:color w:val="000000"/>
                <w:sz w:val="20"/>
                <w:szCs w:val="20"/>
              </w:rPr>
              <w:t>扩需求挖潜能，消费活力增强。政策引导、业态引领、活动激活等多措并举，以旧换新等促销活动成效显著，消费场景持续创新，商贸流通更加顺畅，市场体系不断健全。</w:t>
            </w:r>
            <w:r>
              <w:rPr>
                <w:rFonts w:hint="default" w:eastAsia="仿宋_GB2312"/>
                <w:color w:val="000000"/>
                <w:sz w:val="20"/>
                <w:szCs w:val="20"/>
              </w:rPr>
              <w:t>2-</w:t>
            </w:r>
            <w:r>
              <w:rPr>
                <w:rFonts w:hint="default" w:hAnsi="Times New Roman Regular" w:eastAsia="仿宋_GB2312"/>
                <w:color w:val="000000"/>
                <w:sz w:val="20"/>
                <w:szCs w:val="20"/>
              </w:rPr>
              <w:t>扩开放增动能，外贸韧性强化。对外贸易实现</w:t>
            </w:r>
            <w:r>
              <w:rPr>
                <w:rFonts w:hint="default" w:eastAsia="仿宋_GB2312"/>
                <w:color w:val="000000"/>
                <w:sz w:val="20"/>
                <w:szCs w:val="20"/>
              </w:rPr>
              <w:t>“</w:t>
            </w:r>
            <w:r>
              <w:rPr>
                <w:rFonts w:hint="default" w:hAnsi="Times New Roman Regular" w:eastAsia="仿宋_GB2312"/>
                <w:color w:val="000000"/>
                <w:sz w:val="20"/>
                <w:szCs w:val="20"/>
              </w:rPr>
              <w:t>质升量稳</w:t>
            </w:r>
            <w:r>
              <w:rPr>
                <w:rFonts w:hint="default" w:eastAsia="仿宋_GB2312"/>
                <w:color w:val="000000"/>
                <w:sz w:val="20"/>
                <w:szCs w:val="20"/>
              </w:rPr>
              <w:t>”</w:t>
            </w:r>
            <w:r>
              <w:rPr>
                <w:rFonts w:hint="default" w:hAnsi="Times New Roman Regular" w:eastAsia="仿宋_GB2312"/>
                <w:color w:val="000000"/>
                <w:sz w:val="20"/>
                <w:szCs w:val="20"/>
              </w:rPr>
              <w:t>，贸易伙伴拓展至</w:t>
            </w:r>
            <w:r>
              <w:rPr>
                <w:rFonts w:hint="default" w:eastAsia="仿宋_GB2312"/>
                <w:color w:val="000000"/>
                <w:sz w:val="20"/>
                <w:szCs w:val="20"/>
              </w:rPr>
              <w:t>235</w:t>
            </w:r>
            <w:r>
              <w:rPr>
                <w:rFonts w:hint="default" w:hAnsi="Times New Roman Regular" w:eastAsia="仿宋_GB2312"/>
                <w:color w:val="000000"/>
                <w:sz w:val="20"/>
                <w:szCs w:val="20"/>
              </w:rPr>
              <w:t>个，进口势头强劲，外贸主体多元。政策支撑发力，产业开放扩大，市场开拓支持加强，新兴业态发展迅速。</w:t>
            </w:r>
            <w:r>
              <w:rPr>
                <w:rFonts w:hint="default" w:eastAsia="仿宋_GB2312"/>
                <w:color w:val="000000"/>
                <w:sz w:val="20"/>
                <w:szCs w:val="20"/>
              </w:rPr>
              <w:t>3-</w:t>
            </w:r>
            <w:r>
              <w:rPr>
                <w:rFonts w:hint="default" w:hAnsi="Times New Roman Regular" w:eastAsia="仿宋_GB2312"/>
                <w:color w:val="000000"/>
                <w:sz w:val="20"/>
                <w:szCs w:val="20"/>
              </w:rPr>
              <w:t>促创新引项目，招商质效提升。加大全球招商力度，构建大招商格局，发布正面清单，出台多项政策举措。招大引强成效显著，外资攻坚行动有力，湘商回归投资踊跃。</w:t>
            </w:r>
            <w:r>
              <w:rPr>
                <w:rFonts w:hint="default" w:eastAsia="仿宋_GB2312"/>
                <w:color w:val="000000"/>
                <w:sz w:val="20"/>
                <w:szCs w:val="20"/>
              </w:rPr>
              <w:t>4-</w:t>
            </w:r>
            <w:r>
              <w:rPr>
                <w:rFonts w:hint="default" w:hAnsi="Times New Roman Regular" w:eastAsia="仿宋_GB2312"/>
                <w:color w:val="000000"/>
                <w:sz w:val="20"/>
                <w:szCs w:val="20"/>
              </w:rPr>
              <w:t>抓项目防风险，外经合作拓展。突出</w:t>
            </w:r>
            <w:r>
              <w:rPr>
                <w:rFonts w:hint="default" w:eastAsia="仿宋_GB2312"/>
                <w:color w:val="000000"/>
                <w:sz w:val="20"/>
                <w:szCs w:val="20"/>
              </w:rPr>
              <w:t>“</w:t>
            </w:r>
            <w:r>
              <w:rPr>
                <w:rFonts w:hint="default" w:hAnsi="Times New Roman Regular" w:eastAsia="仿宋_GB2312"/>
                <w:color w:val="000000"/>
                <w:sz w:val="20"/>
                <w:szCs w:val="20"/>
              </w:rPr>
              <w:t>一带一路</w:t>
            </w:r>
            <w:r>
              <w:rPr>
                <w:rFonts w:hint="default" w:eastAsia="仿宋_GB2312"/>
                <w:color w:val="000000"/>
                <w:sz w:val="20"/>
                <w:szCs w:val="20"/>
              </w:rPr>
              <w:t>”</w:t>
            </w:r>
            <w:r>
              <w:rPr>
                <w:rFonts w:hint="default" w:hAnsi="Times New Roman Regular" w:eastAsia="仿宋_GB2312"/>
                <w:color w:val="000000"/>
                <w:sz w:val="20"/>
                <w:szCs w:val="20"/>
              </w:rPr>
              <w:t>方向，促进湘企</w:t>
            </w:r>
            <w:r>
              <w:rPr>
                <w:rFonts w:hint="default" w:eastAsia="仿宋_GB2312"/>
                <w:color w:val="000000"/>
                <w:sz w:val="20"/>
                <w:szCs w:val="20"/>
              </w:rPr>
              <w:t>“</w:t>
            </w:r>
            <w:r>
              <w:rPr>
                <w:rFonts w:hint="default" w:hAnsi="Times New Roman Regular" w:eastAsia="仿宋_GB2312"/>
                <w:color w:val="000000"/>
                <w:sz w:val="20"/>
                <w:szCs w:val="20"/>
              </w:rPr>
              <w:t>抱团出海</w:t>
            </w:r>
            <w:r>
              <w:rPr>
                <w:rFonts w:hint="default" w:eastAsia="仿宋_GB2312"/>
                <w:color w:val="000000"/>
                <w:sz w:val="20"/>
                <w:szCs w:val="20"/>
              </w:rPr>
              <w:t>”</w:t>
            </w:r>
            <w:r>
              <w:rPr>
                <w:rFonts w:hint="default" w:hAnsi="Times New Roman Regular" w:eastAsia="仿宋_GB2312"/>
                <w:color w:val="000000"/>
                <w:sz w:val="20"/>
                <w:szCs w:val="20"/>
              </w:rPr>
              <w:t>。国际合作拓展，综合服务优化，援外优势强化，风险防范有力。</w:t>
            </w:r>
            <w:r>
              <w:rPr>
                <w:rFonts w:hint="default" w:eastAsia="仿宋_GB2312"/>
                <w:color w:val="000000"/>
                <w:sz w:val="20"/>
                <w:szCs w:val="20"/>
              </w:rPr>
              <w:t>5-</w:t>
            </w:r>
            <w:r>
              <w:rPr>
                <w:rFonts w:hint="default" w:hAnsi="Times New Roman Regular" w:eastAsia="仿宋_GB2312"/>
                <w:color w:val="000000"/>
                <w:sz w:val="20"/>
                <w:szCs w:val="20"/>
              </w:rPr>
              <w:t>强平台畅通道，自贸口岸赋能。自贸试验区制度创新有突破，开放引领显担当，联动发展见成效。五大国际贸易通道提质增效，怀化国际陆港等发挥重要作用。</w:t>
            </w:r>
            <w:r>
              <w:rPr>
                <w:rFonts w:hint="default" w:eastAsia="仿宋_GB2312"/>
                <w:color w:val="000000"/>
                <w:sz w:val="20"/>
                <w:szCs w:val="20"/>
              </w:rPr>
              <w:t>6-</w:t>
            </w:r>
            <w:r>
              <w:rPr>
                <w:rFonts w:hint="default" w:hAnsi="Times New Roman Regular" w:eastAsia="仿宋_GB2312"/>
                <w:color w:val="000000"/>
                <w:sz w:val="20"/>
                <w:szCs w:val="20"/>
              </w:rPr>
              <w:t>建体系打基础，对非经贸深化。中非经贸博览会及先行区建设取得显著成果，对非贸易保持全国前列。</w:t>
            </w:r>
          </w:p>
        </w:tc>
      </w:tr>
      <w:tr>
        <w:trPr>
          <w:trHeight w:val="23" w:hRule="atLeast"/>
          <w:jc w:val="center"/>
        </w:trPr>
        <w:tc>
          <w:tcPr>
            <w:tcW w:w="86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绩</w:t>
            </w: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效</w:t>
            </w: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指</w:t>
            </w: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标</w:t>
            </w: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p>
        </w:tc>
        <w:tc>
          <w:tcPr>
            <w:tcW w:w="6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一级指标</w:t>
            </w:r>
          </w:p>
        </w:tc>
        <w:tc>
          <w:tcPr>
            <w:tcW w:w="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二级指标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三级指标</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rPr>
                <w:rFonts w:hint="default" w:eastAsia="仿宋_GB2312"/>
                <w:color w:val="000000"/>
                <w:sz w:val="20"/>
                <w:szCs w:val="20"/>
              </w:rPr>
            </w:pPr>
            <w:r>
              <w:rPr>
                <w:rFonts w:hint="default" w:hAnsi="Times New Roman Regular" w:eastAsia="仿宋_GB2312"/>
                <w:color w:val="000000"/>
                <w:sz w:val="20"/>
                <w:szCs w:val="20"/>
              </w:rPr>
              <w:t>年度指标值</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rPr>
                <w:rFonts w:hint="default" w:eastAsia="仿宋_GB2312"/>
                <w:color w:val="000000"/>
                <w:sz w:val="20"/>
                <w:szCs w:val="20"/>
              </w:rPr>
            </w:pPr>
            <w:r>
              <w:rPr>
                <w:rFonts w:hint="default" w:hAnsi="Times New Roman Regular" w:eastAsia="仿宋_GB2312"/>
                <w:color w:val="000000"/>
                <w:sz w:val="20"/>
                <w:szCs w:val="20"/>
              </w:rPr>
              <w:t>实际完成值</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分值</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16"/>
                <w:szCs w:val="16"/>
              </w:rPr>
              <w:t>自评得分</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rPr>
                <w:rFonts w:hint="default" w:eastAsia="仿宋_GB2312"/>
                <w:color w:val="000000"/>
                <w:sz w:val="20"/>
                <w:szCs w:val="20"/>
              </w:rPr>
            </w:pPr>
            <w:r>
              <w:rPr>
                <w:rFonts w:hint="default" w:hAnsi="Times New Roman Regular" w:eastAsia="仿宋_GB2312"/>
                <w:color w:val="000000"/>
                <w:sz w:val="20"/>
                <w:szCs w:val="20"/>
              </w:rPr>
              <w:t>偏差原因分析及改进措施</w:t>
            </w: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产出指标</w:t>
            </w: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p>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(50</w:t>
            </w:r>
            <w:r>
              <w:rPr>
                <w:rFonts w:hint="default" w:hAnsi="Times New Roman Regular" w:eastAsia="仿宋_GB2312"/>
                <w:color w:val="000000"/>
                <w:sz w:val="20"/>
                <w:szCs w:val="20"/>
              </w:rPr>
              <w:t>分</w:t>
            </w:r>
            <w:r>
              <w:rPr>
                <w:rFonts w:hint="default" w:eastAsia="仿宋_GB2312"/>
                <w:color w:val="000000"/>
                <w:sz w:val="20"/>
                <w:szCs w:val="20"/>
              </w:rPr>
              <w:t>)</w:t>
            </w: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hAnsi="Times New Roman Regular" w:eastAsia="仿宋_GB2312"/>
                <w:color w:val="000000"/>
                <w:sz w:val="20"/>
                <w:szCs w:val="20"/>
              </w:rPr>
              <w:t>数量指标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现代产业体系招商信息编制产业链信息数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16</w:t>
            </w:r>
            <w:r>
              <w:rPr>
                <w:rFonts w:hint="default" w:hAnsi="Times New Roman Regular" w:eastAsia="仿宋_GB2312"/>
                <w:color w:val="000000"/>
                <w:sz w:val="20"/>
                <w:szCs w:val="20"/>
              </w:rPr>
              <w:t>条</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16</w:t>
            </w:r>
            <w:r>
              <w:rPr>
                <w:rFonts w:hint="default" w:hAnsi="Times New Roman Regular" w:eastAsia="仿宋_GB2312"/>
                <w:color w:val="000000"/>
                <w:sz w:val="20"/>
                <w:szCs w:val="20"/>
              </w:rPr>
              <w:t>条</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p>
        </w:tc>
        <w:tc>
          <w:tcPr>
            <w:tcW w:w="640"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现代产业体系招商信息编制印刷成果册数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1000</w:t>
            </w:r>
            <w:r>
              <w:rPr>
                <w:rFonts w:hint="default" w:hAnsi="Times New Roman Regular" w:eastAsia="仿宋_GB2312"/>
                <w:color w:val="000000"/>
                <w:sz w:val="20"/>
                <w:szCs w:val="20"/>
              </w:rPr>
              <w:t>册</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1000</w:t>
            </w:r>
            <w:r>
              <w:rPr>
                <w:rFonts w:hint="default" w:hAnsi="Times New Roman Regular" w:eastAsia="仿宋_GB2312"/>
                <w:color w:val="000000"/>
                <w:sz w:val="20"/>
                <w:szCs w:val="20"/>
              </w:rPr>
              <w:t>册</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宣传推介湖南优势产业及商品</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≥280</w:t>
            </w:r>
            <w:r>
              <w:rPr>
                <w:rFonts w:hint="default" w:hAnsi="Times New Roman Regular" w:eastAsia="仿宋_GB2312"/>
                <w:color w:val="000000"/>
                <w:sz w:val="20"/>
                <w:szCs w:val="20"/>
              </w:rPr>
              <w:t>类</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300</w:t>
            </w:r>
            <w:r>
              <w:rPr>
                <w:rFonts w:hint="default" w:hAnsi="Times New Roman Regular" w:eastAsia="仿宋_GB2312"/>
                <w:color w:val="000000"/>
                <w:sz w:val="20"/>
                <w:szCs w:val="20"/>
              </w:rPr>
              <w:t>类</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w:t>
            </w:r>
            <w:r>
              <w:rPr>
                <w:rFonts w:hint="default" w:hAnsi="Times New Roman Regular" w:eastAsia="仿宋_GB2312"/>
                <w:color w:val="000000"/>
                <w:sz w:val="20"/>
                <w:szCs w:val="20"/>
              </w:rPr>
              <w:t>创业中国梦</w:t>
            </w:r>
            <w:r>
              <w:rPr>
                <w:rFonts w:hint="default" w:eastAsia="仿宋_GB2312"/>
                <w:color w:val="000000"/>
                <w:sz w:val="20"/>
                <w:szCs w:val="20"/>
              </w:rPr>
              <w:t>”</w:t>
            </w:r>
            <w:r>
              <w:rPr>
                <w:rFonts w:hint="default" w:hAnsi="Times New Roman Regular" w:eastAsia="仿宋_GB2312"/>
                <w:color w:val="000000"/>
                <w:sz w:val="20"/>
                <w:szCs w:val="20"/>
              </w:rPr>
              <w:t>投融资推介会</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≥3</w:t>
            </w:r>
            <w:r>
              <w:rPr>
                <w:rFonts w:hint="default" w:hAnsi="Times New Roman Regular" w:eastAsia="仿宋_GB2312"/>
                <w:color w:val="000000"/>
                <w:sz w:val="20"/>
                <w:szCs w:val="20"/>
              </w:rPr>
              <w:t>场</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4</w:t>
            </w:r>
            <w:r>
              <w:rPr>
                <w:rFonts w:hint="default" w:hAnsi="Times New Roman Regular" w:eastAsia="仿宋_GB2312"/>
                <w:color w:val="000000"/>
                <w:sz w:val="20"/>
                <w:szCs w:val="20"/>
              </w:rPr>
              <w:t>场</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分析被商务部、省委省政府和省内外媒体数量</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不少于</w:t>
            </w:r>
            <w:r>
              <w:rPr>
                <w:rFonts w:hint="default" w:eastAsia="仿宋_GB2312"/>
                <w:color w:val="000000"/>
                <w:sz w:val="20"/>
                <w:szCs w:val="20"/>
              </w:rPr>
              <w:t>60</w:t>
            </w:r>
            <w:r>
              <w:rPr>
                <w:rFonts w:hint="default" w:hAnsi="Times New Roman Regular" w:eastAsia="仿宋_GB2312"/>
                <w:color w:val="000000"/>
                <w:sz w:val="20"/>
                <w:szCs w:val="20"/>
              </w:rPr>
              <w:t>篇</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76</w:t>
            </w:r>
            <w:r>
              <w:rPr>
                <w:rFonts w:hint="default" w:hAnsi="Times New Roman Regular" w:eastAsia="仿宋_GB2312"/>
                <w:color w:val="000000"/>
                <w:sz w:val="20"/>
                <w:szCs w:val="20"/>
              </w:rPr>
              <w:t>篇</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参展参会企业数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不少于</w:t>
            </w:r>
            <w:r>
              <w:rPr>
                <w:rFonts w:hint="default" w:eastAsia="仿宋_GB2312"/>
                <w:color w:val="000000"/>
                <w:sz w:val="20"/>
                <w:szCs w:val="20"/>
              </w:rPr>
              <w:t>20</w:t>
            </w:r>
            <w:r>
              <w:rPr>
                <w:rFonts w:hint="default" w:hAnsi="Times New Roman Regular" w:eastAsia="仿宋_GB2312"/>
                <w:color w:val="000000"/>
                <w:sz w:val="20"/>
                <w:szCs w:val="20"/>
              </w:rPr>
              <w:t>家</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center"/>
              <w:rPr>
                <w:rFonts w:hint="default" w:eastAsia="仿宋_GB2312"/>
                <w:color w:val="000000"/>
                <w:sz w:val="20"/>
                <w:szCs w:val="20"/>
              </w:rPr>
            </w:pPr>
            <w:r>
              <w:rPr>
                <w:rFonts w:hint="default" w:eastAsia="仿宋_GB2312"/>
                <w:color w:val="000000"/>
                <w:sz w:val="20"/>
                <w:szCs w:val="20"/>
              </w:rPr>
              <w:t>28</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组织参会观众数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不少于</w:t>
            </w:r>
            <w:r>
              <w:rPr>
                <w:rFonts w:hint="default" w:eastAsia="仿宋_GB2312"/>
                <w:color w:val="000000"/>
                <w:sz w:val="20"/>
                <w:szCs w:val="20"/>
              </w:rPr>
              <w:t>80</w:t>
            </w:r>
            <w:r>
              <w:rPr>
                <w:rFonts w:hint="default" w:hAnsi="Times New Roman Regular" w:eastAsia="仿宋_GB2312"/>
                <w:color w:val="000000"/>
                <w:sz w:val="20"/>
                <w:szCs w:val="20"/>
              </w:rPr>
              <w:t>人</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center"/>
              <w:rPr>
                <w:rFonts w:hint="default" w:eastAsia="仿宋_GB2312"/>
                <w:color w:val="000000"/>
                <w:sz w:val="20"/>
                <w:szCs w:val="20"/>
              </w:rPr>
            </w:pPr>
            <w:r>
              <w:rPr>
                <w:rFonts w:hint="default" w:eastAsia="仿宋_GB2312"/>
                <w:color w:val="000000"/>
                <w:sz w:val="20"/>
                <w:szCs w:val="20"/>
              </w:rPr>
              <w:t>128</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家政促消费活动举办活动场次</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≥40</w:t>
            </w:r>
            <w:r>
              <w:rPr>
                <w:rFonts w:hint="default" w:hAnsi="Times New Roman Regular" w:eastAsia="仿宋_GB2312"/>
                <w:color w:val="000000"/>
                <w:sz w:val="20"/>
                <w:szCs w:val="20"/>
              </w:rPr>
              <w:t>场</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center"/>
              <w:rPr>
                <w:rFonts w:hint="default" w:eastAsia="仿宋_GB2312"/>
                <w:color w:val="000000"/>
                <w:sz w:val="20"/>
                <w:szCs w:val="20"/>
              </w:rPr>
            </w:pPr>
            <w:r>
              <w:rPr>
                <w:rFonts w:hint="default" w:eastAsia="仿宋_GB2312"/>
                <w:color w:val="000000"/>
                <w:sz w:val="20"/>
                <w:szCs w:val="20"/>
              </w:rPr>
              <w:t>50</w:t>
            </w:r>
            <w:r>
              <w:rPr>
                <w:rFonts w:hint="default" w:hAnsi="Times New Roman Regular" w:eastAsia="仿宋_GB2312"/>
                <w:color w:val="000000"/>
                <w:sz w:val="20"/>
                <w:szCs w:val="20"/>
              </w:rPr>
              <w:t>场</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hAnsi="Times New Roman Regular" w:eastAsia="仿宋_GB2312"/>
                <w:color w:val="000000"/>
                <w:sz w:val="20"/>
                <w:szCs w:val="20"/>
              </w:rPr>
              <w:t>家政促消费活动参加企业数量</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≥200</w:t>
            </w:r>
            <w:r>
              <w:rPr>
                <w:rFonts w:hint="default" w:hAnsi="Times New Roman Regular" w:eastAsia="仿宋_GB2312"/>
                <w:color w:val="000000"/>
                <w:sz w:val="20"/>
                <w:szCs w:val="20"/>
              </w:rPr>
              <w:t>家</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center"/>
              <w:rPr>
                <w:rFonts w:hint="default" w:eastAsia="仿宋_GB2312"/>
                <w:color w:val="000000"/>
                <w:sz w:val="20"/>
                <w:szCs w:val="20"/>
              </w:rPr>
            </w:pPr>
            <w:r>
              <w:rPr>
                <w:rFonts w:hint="default" w:eastAsia="仿宋_GB2312"/>
                <w:color w:val="000000"/>
                <w:sz w:val="20"/>
                <w:szCs w:val="20"/>
              </w:rPr>
              <w:t>200</w:t>
            </w:r>
            <w:r>
              <w:rPr>
                <w:rFonts w:hint="default" w:hAnsi="Times New Roman Regular" w:eastAsia="仿宋_GB2312"/>
                <w:color w:val="000000"/>
                <w:sz w:val="20"/>
                <w:szCs w:val="20"/>
              </w:rPr>
              <w:t>家</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第四届消博会成立交易团</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1个</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1个</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第四届消博会组织老字号、非遗等21企业参展参会</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≥20家</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≥20家</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进博会建立交易团</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15</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一个湖南交易团、14个市州交易分团</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进博会专业采购商</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≥1000人</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≥1000人</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进博会组织老字号、非遗企业参加人文交流活动</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≥20家</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≥20家</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质量指标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商务人才培养合格率</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≥95%</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≥95%</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4</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自贸试验区总体方案改革试点任务实施率</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≥98%</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≥98%</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4</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时效指标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促消费活动完成及时率</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≥95%</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≥95%</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经贸活动完成及时率</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≥95%</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≥95%</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成本指标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部门基本支出额</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≤12000万元</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10,008.56万元</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4</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效益指标</w:t>
            </w:r>
          </w:p>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p>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（30分）</w:t>
            </w:r>
          </w:p>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　</w:t>
            </w:r>
          </w:p>
        </w:tc>
        <w:tc>
          <w:tcPr>
            <w:tcW w:w="64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经济效益指标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基本生活类商品零售额增长比</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比上年有所增长</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增长9.2%</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CPI涨跌</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在3%以内</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0.5%</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20" w:lineRule="exact"/>
              <w:ind w:left="0" w:right="0"/>
              <w:jc w:val="center"/>
              <w:rPr>
                <w:rFonts w:hint="default" w:eastAsia="仿宋_GB2312"/>
                <w:color w:val="000000"/>
                <w:sz w:val="20"/>
                <w:szCs w:val="20"/>
              </w:rPr>
            </w:pPr>
            <w:r>
              <w:rPr>
                <w:rFonts w:hint="default" w:eastAsia="仿宋_GB2312"/>
                <w:spacing w:val="-6"/>
                <w:sz w:val="18"/>
                <w:szCs w:val="18"/>
              </w:rPr>
              <w:t>中国-非洲经贸博览会走进非洲签约项目金额</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00" w:lineRule="exact"/>
              <w:ind w:left="0" w:right="0"/>
              <w:jc w:val="center"/>
              <w:rPr>
                <w:rFonts w:hint="default" w:eastAsia="仿宋_GB2312"/>
                <w:color w:val="000000"/>
                <w:sz w:val="20"/>
                <w:szCs w:val="20"/>
              </w:rPr>
            </w:pPr>
            <w:r>
              <w:rPr>
                <w:rFonts w:hint="default" w:eastAsia="仿宋_GB2312"/>
                <w:color w:val="000000"/>
                <w:sz w:val="20"/>
                <w:szCs w:val="20"/>
              </w:rPr>
              <w:t>≥</w:t>
            </w:r>
            <w:r>
              <w:rPr>
                <w:rFonts w:hint="default" w:eastAsia="仿宋_GB2312"/>
                <w:sz w:val="18"/>
                <w:szCs w:val="18"/>
              </w:rPr>
              <w:t>11亿美元</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eastAsia="仿宋_GB2312"/>
                <w:color w:val="000000"/>
                <w:sz w:val="20"/>
                <w:szCs w:val="20"/>
              </w:rPr>
            </w:pPr>
            <w:r>
              <w:rPr>
                <w:rFonts w:hint="default" w:eastAsia="仿宋_GB2312"/>
                <w:sz w:val="18"/>
                <w:szCs w:val="18"/>
              </w:rPr>
              <w:t>14亿美元</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3</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服务贸易规模</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正增长</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同比增长23.6%</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社会效益指标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打造夜间消费集聚示范区数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≥30个</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≥30个</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全省湘商回归新注册企业数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≥1400家</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1670家</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5</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20" w:lineRule="exact"/>
              <w:ind w:left="0" w:right="0"/>
              <w:jc w:val="center"/>
              <w:rPr>
                <w:rFonts w:hint="default" w:eastAsia="仿宋_GB2312"/>
                <w:color w:val="000000"/>
                <w:sz w:val="20"/>
                <w:szCs w:val="20"/>
              </w:rPr>
            </w:pPr>
            <w:r>
              <w:rPr>
                <w:rFonts w:hint="default" w:eastAsia="仿宋_GB2312"/>
                <w:sz w:val="18"/>
                <w:szCs w:val="18"/>
              </w:rPr>
              <w:t>中国-非洲经贸博览会走进非洲</w:t>
            </w:r>
            <w:r>
              <w:rPr>
                <w:rFonts w:hint="default" w:eastAsia="仿宋_GB2312"/>
                <w:sz w:val="20"/>
                <w:szCs w:val="20"/>
              </w:rPr>
              <w:t>新闻稿件刊发数量</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00" w:lineRule="exact"/>
              <w:ind w:left="0" w:right="0"/>
              <w:jc w:val="center"/>
              <w:rPr>
                <w:rFonts w:hint="default" w:eastAsia="仿宋_GB2312"/>
                <w:color w:val="000000"/>
                <w:sz w:val="20"/>
                <w:szCs w:val="20"/>
              </w:rPr>
            </w:pPr>
            <w:r>
              <w:rPr>
                <w:rFonts w:hint="default" w:eastAsia="仿宋_GB2312"/>
                <w:color w:val="000000"/>
                <w:sz w:val="20"/>
                <w:szCs w:val="20"/>
              </w:rPr>
              <w:t>≥</w:t>
            </w:r>
            <w:r>
              <w:rPr>
                <w:rFonts w:hint="default" w:eastAsia="仿宋_GB2312"/>
                <w:sz w:val="18"/>
                <w:szCs w:val="18"/>
              </w:rPr>
              <w:t>2800条</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00" w:lineRule="exact"/>
              <w:ind w:left="0" w:right="0"/>
              <w:jc w:val="center"/>
              <w:rPr>
                <w:rFonts w:hint="default" w:eastAsia="仿宋_GB2312"/>
                <w:color w:val="000000"/>
                <w:sz w:val="20"/>
                <w:szCs w:val="20"/>
              </w:rPr>
            </w:pPr>
            <w:r>
              <w:rPr>
                <w:rFonts w:hint="default" w:eastAsia="仿宋_GB2312"/>
                <w:sz w:val="18"/>
                <w:szCs w:val="18"/>
              </w:rPr>
              <w:t>3000条</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3</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40"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自贸试验区形成全国首创制度创新成果数</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≥1个</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1个</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2</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exact"/>
              <w:ind w:left="0" w:right="0"/>
              <w:jc w:val="left"/>
              <w:rPr>
                <w:rFonts w:hint="default" w:eastAsia="仿宋_GB2312"/>
                <w:color w:val="000000"/>
                <w:sz w:val="20"/>
                <w:szCs w:val="20"/>
              </w:rPr>
            </w:pPr>
          </w:p>
        </w:tc>
        <w:tc>
          <w:tcPr>
            <w:tcW w:w="6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满意度指标（10分）</w:t>
            </w:r>
          </w:p>
        </w:tc>
        <w:tc>
          <w:tcPr>
            <w:tcW w:w="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服务对象满意度指标</w:t>
            </w:r>
          </w:p>
        </w:tc>
        <w:tc>
          <w:tcPr>
            <w:tcW w:w="198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rPr>
                <w:rFonts w:hint="default" w:eastAsia="仿宋_GB2312"/>
                <w:color w:val="000000"/>
                <w:sz w:val="20"/>
                <w:szCs w:val="20"/>
              </w:rPr>
            </w:pPr>
            <w:r>
              <w:rPr>
                <w:rFonts w:hint="default" w:eastAsia="仿宋_GB2312"/>
                <w:color w:val="000000"/>
                <w:sz w:val="20"/>
                <w:szCs w:val="20"/>
              </w:rPr>
              <w:t>工作满意度</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center"/>
              <w:rPr>
                <w:rFonts w:hint="default" w:eastAsia="仿宋_GB2312"/>
                <w:color w:val="000000"/>
                <w:sz w:val="20"/>
                <w:szCs w:val="20"/>
              </w:rPr>
            </w:pPr>
            <w:r>
              <w:rPr>
                <w:rFonts w:hint="default" w:eastAsia="仿宋_GB2312"/>
                <w:color w:val="000000"/>
                <w:sz w:val="20"/>
                <w:szCs w:val="20"/>
              </w:rPr>
              <w:t>≥90%</w:t>
            </w:r>
          </w:p>
        </w:tc>
        <w:tc>
          <w:tcPr>
            <w:tcW w:w="15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center"/>
              <w:rPr>
                <w:rFonts w:hint="default" w:eastAsia="仿宋_GB2312"/>
                <w:color w:val="000000"/>
                <w:sz w:val="20"/>
                <w:szCs w:val="20"/>
              </w:rPr>
            </w:pPr>
            <w:r>
              <w:rPr>
                <w:rFonts w:hint="default" w:eastAsia="仿宋_GB2312"/>
                <w:color w:val="000000"/>
                <w:sz w:val="20"/>
                <w:szCs w:val="20"/>
              </w:rPr>
              <w:t>90%</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10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r>
              <w:rPr>
                <w:rFonts w:hint="default" w:eastAsia="仿宋_GB2312"/>
                <w:color w:val="000000"/>
                <w:sz w:val="20"/>
                <w:szCs w:val="20"/>
              </w:rPr>
              <w:t>10</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firstLine="400" w:firstLineChars="200"/>
              <w:jc w:val="left"/>
              <w:rPr>
                <w:rFonts w:hint="default" w:eastAsia="仿宋_GB2312"/>
                <w:color w:val="000000"/>
                <w:sz w:val="20"/>
                <w:szCs w:val="20"/>
              </w:rPr>
            </w:pPr>
          </w:p>
        </w:tc>
      </w:tr>
      <w:tr>
        <w:trPr>
          <w:trHeight w:val="23" w:hRule="atLeast"/>
          <w:jc w:val="center"/>
        </w:trPr>
        <w:tc>
          <w:tcPr>
            <w:tcW w:w="707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000000"/>
                <w:sz w:val="20"/>
                <w:szCs w:val="20"/>
              </w:rPr>
            </w:pPr>
            <w:r>
              <w:rPr>
                <w:rFonts w:hint="default" w:eastAsia="仿宋_GB2312"/>
                <w:color w:val="000000"/>
                <w:sz w:val="20"/>
                <w:szCs w:val="20"/>
              </w:rPr>
              <w:t>总分</w:t>
            </w:r>
          </w:p>
        </w:tc>
        <w:tc>
          <w:tcPr>
            <w:tcW w:w="9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center"/>
              <w:rPr>
                <w:rFonts w:hint="default" w:eastAsia="仿宋_GB2312"/>
                <w:color w:val="auto"/>
                <w:sz w:val="20"/>
                <w:szCs w:val="20"/>
              </w:rPr>
            </w:pPr>
            <w:r>
              <w:rPr>
                <w:rFonts w:hint="default" w:eastAsia="仿宋_GB2312"/>
                <w:color w:val="auto"/>
                <w:sz w:val="20"/>
                <w:szCs w:val="20"/>
              </w:rPr>
              <w:t>100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auto"/>
                <w:sz w:val="20"/>
                <w:szCs w:val="20"/>
              </w:rPr>
            </w:pPr>
            <w:r>
              <w:rPr>
                <w:rFonts w:hint="default" w:eastAsia="仿宋_GB2312"/>
                <w:color w:val="auto"/>
                <w:sz w:val="20"/>
                <w:szCs w:val="20"/>
              </w:rPr>
              <w:t>　97</w:t>
            </w:r>
          </w:p>
        </w:tc>
        <w:tc>
          <w:tcPr>
            <w:tcW w:w="9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eastAsia="仿宋_GB2312"/>
                <w:color w:val="000000"/>
                <w:sz w:val="20"/>
                <w:szCs w:val="20"/>
              </w:rPr>
            </w:pPr>
            <w:r>
              <w:rPr>
                <w:rFonts w:hint="default" w:eastAsia="仿宋_GB2312"/>
                <w:color w:val="000000"/>
                <w:sz w:val="20"/>
                <w:szCs w:val="20"/>
              </w:rPr>
              <w:t>　</w:t>
            </w:r>
          </w:p>
        </w:tc>
      </w:tr>
    </w:tbl>
    <w:p>
      <w:pPr>
        <w:tabs>
          <w:tab w:val="center" w:pos="4153"/>
          <w:tab w:val="right" w:pos="8306"/>
        </w:tabs>
        <w:rPr>
          <w:rFonts w:eastAsia="黑体"/>
          <w:sz w:val="32"/>
          <w:szCs w:val="32"/>
        </w:rPr>
        <w:sectPr>
          <w:pgSz w:w="11906" w:h="16838"/>
          <w:pgMar w:top="2041" w:right="1474" w:bottom="1757" w:left="1587" w:header="851" w:footer="992" w:gutter="0"/>
          <w:pgNumType w:fmt="numberInDash"/>
          <w:cols w:space="720" w:num="1"/>
          <w:rtlGutter w:val="0"/>
          <w:docGrid w:type="linesAndChars" w:linePitch="593" w:charSpace="0"/>
        </w:sectPr>
      </w:pPr>
    </w:p>
    <w:p>
      <w:pPr>
        <w:tabs>
          <w:tab w:val="center" w:pos="4153"/>
          <w:tab w:val="right" w:pos="8306"/>
        </w:tabs>
        <w:snapToGrid w:val="0"/>
        <w:jc w:val="left"/>
        <w:rPr>
          <w:rFonts w:eastAsia="黑体"/>
          <w:sz w:val="32"/>
          <w:szCs w:val="32"/>
        </w:rPr>
      </w:pPr>
      <w:r>
        <w:rPr>
          <w:rFonts w:eastAsia="黑体"/>
          <w:sz w:val="32"/>
          <w:szCs w:val="32"/>
        </w:rPr>
        <w:t>附件3</w:t>
      </w:r>
    </w:p>
    <w:p>
      <w:pPr>
        <w:widowControl/>
        <w:spacing w:after="200" w:line="560" w:lineRule="exact"/>
        <w:jc w:val="center"/>
        <w:rPr>
          <w:rFonts w:eastAsia="方正小标宋简体"/>
          <w:kern w:val="0"/>
          <w:sz w:val="32"/>
          <w:szCs w:val="32"/>
        </w:rPr>
      </w:pPr>
      <w:r>
        <w:rPr>
          <w:rFonts w:eastAsia="方正小标宋简体"/>
          <w:kern w:val="0"/>
          <w:sz w:val="32"/>
          <w:szCs w:val="32"/>
        </w:rPr>
        <w:t>2024年开放型经济与流通产业发展专项支出绩效自评表</w:t>
      </w:r>
    </w:p>
    <w:tbl>
      <w:tblPr>
        <w:tblStyle w:val="11"/>
        <w:tblW w:w="5304" w:type="pct"/>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979"/>
        <w:gridCol w:w="891"/>
        <w:gridCol w:w="1661"/>
        <w:gridCol w:w="1188"/>
        <w:gridCol w:w="1197"/>
        <w:gridCol w:w="613"/>
        <w:gridCol w:w="903"/>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1315" w:type="pct"/>
            <w:gridSpan w:val="3"/>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项目支出名称</w:t>
            </w:r>
          </w:p>
        </w:tc>
        <w:tc>
          <w:tcPr>
            <w:tcW w:w="3684" w:type="pct"/>
            <w:gridSpan w:val="6"/>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开放型经济与流通产业发展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315" w:type="pct"/>
            <w:gridSpan w:val="3"/>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684" w:type="pct"/>
            <w:gridSpan w:val="6"/>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15" w:type="pct"/>
            <w:gridSpan w:val="3"/>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主管部门</w:t>
            </w:r>
          </w:p>
        </w:tc>
        <w:tc>
          <w:tcPr>
            <w:tcW w:w="1482" w:type="pct"/>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湖南省商务厅</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实施单位</w:t>
            </w:r>
          </w:p>
        </w:tc>
        <w:tc>
          <w:tcPr>
            <w:tcW w:w="1580" w:type="pct"/>
            <w:gridSpan w:val="3"/>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市州、县商务部分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342"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项目资金（万元）</w:t>
            </w:r>
          </w:p>
        </w:tc>
        <w:tc>
          <w:tcPr>
            <w:tcW w:w="972" w:type="pct"/>
            <w:gridSpan w:val="2"/>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年初预算数</w:t>
            </w:r>
          </w:p>
        </w:tc>
        <w:tc>
          <w:tcPr>
            <w:tcW w:w="617" w:type="pct"/>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全年预算数</w:t>
            </w:r>
          </w:p>
        </w:tc>
        <w:tc>
          <w:tcPr>
            <w:tcW w:w="622" w:type="pct"/>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全年执行数</w:t>
            </w:r>
          </w:p>
        </w:tc>
        <w:tc>
          <w:tcPr>
            <w:tcW w:w="318" w:type="pct"/>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分值</w:t>
            </w:r>
          </w:p>
        </w:tc>
        <w:tc>
          <w:tcPr>
            <w:tcW w:w="469" w:type="pct"/>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执行率</w:t>
            </w:r>
          </w:p>
        </w:tc>
        <w:tc>
          <w:tcPr>
            <w:tcW w:w="791" w:type="pct"/>
            <w:vMerge w:val="restar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972" w:type="pct"/>
            <w:gridSpan w:val="2"/>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617" w:type="pct"/>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622" w:type="pct"/>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18" w:type="pct"/>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9" w:type="pct"/>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91" w:type="pct"/>
            <w:vMerge w:val="continue"/>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972" w:type="pct"/>
            <w:gridSpan w:val="2"/>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年度资金总额　</w:t>
            </w:r>
          </w:p>
        </w:tc>
        <w:tc>
          <w:tcPr>
            <w:tcW w:w="864"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617"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622"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318"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469"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100%</w:t>
            </w:r>
          </w:p>
        </w:tc>
        <w:tc>
          <w:tcPr>
            <w:tcW w:w="791"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972" w:type="pct"/>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其中：当年财政拨款　</w:t>
            </w:r>
          </w:p>
        </w:tc>
        <w:tc>
          <w:tcPr>
            <w:tcW w:w="864"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617"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622"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143,676</w:t>
            </w:r>
          </w:p>
        </w:tc>
        <w:tc>
          <w:tcPr>
            <w:tcW w:w="318"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9"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91"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972" w:type="pct"/>
            <w:gridSpan w:val="2"/>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上年结转资金　</w:t>
            </w:r>
          </w:p>
        </w:tc>
        <w:tc>
          <w:tcPr>
            <w:tcW w:w="864"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617"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622"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18"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9"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91"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972" w:type="pct"/>
            <w:gridSpan w:val="2"/>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其他资金</w:t>
            </w:r>
          </w:p>
        </w:tc>
        <w:tc>
          <w:tcPr>
            <w:tcW w:w="864"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617"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622"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18"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9"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91" w:type="pct"/>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年度总体目标</w:t>
            </w:r>
          </w:p>
        </w:tc>
        <w:tc>
          <w:tcPr>
            <w:tcW w:w="2454" w:type="pct"/>
            <w:gridSpan w:val="4"/>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预期目标</w:t>
            </w:r>
          </w:p>
        </w:tc>
        <w:tc>
          <w:tcPr>
            <w:tcW w:w="2202" w:type="pct"/>
            <w:gridSpan w:val="4"/>
            <w:noWrap w:val="0"/>
            <w:vAlign w:val="bottom"/>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2454" w:type="pct"/>
            <w:gridSpan w:val="4"/>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新增加工贸易企业数≥15家，培育跨境电商产业园、产业带、海外仓、孵化中心等项目数≥8个，支持国际合作园区数≥1个，综合评价进入全国前100名的国家级经开区数≥3家，援外项目数≥4个，岳阳海运直达趟次≥10次，新开国际客货运航线条数≥2条，消费促进季活动数量≥4场，新增年自非进口300万美元（含）以上企业数≥1家，外贸人才培养合格率≥90%，资金奖补合规性≥95%，援外培训学员合格率≥95%，国际航线航班平均执行率</w:t>
            </w:r>
          </w:p>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≥70%，总体方案改革试点任务实施率≥98%，资金下达及时率≥95%，市场运行监测报送率</w:t>
            </w:r>
          </w:p>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≥90%，全省外贸依存度≥10%，社会消费品零售总额增幅≥5%，带动境外就业人数≥6000人。</w:t>
            </w:r>
          </w:p>
        </w:tc>
        <w:tc>
          <w:tcPr>
            <w:tcW w:w="2202" w:type="pct"/>
            <w:gridSpan w:val="4"/>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新增加工贸易企业数23家，培育跨境电商产业园、产业带、海外仓、孵化中心等项目数9个，支持国际合作园区数</w:t>
            </w:r>
          </w:p>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1个，综合评价进入全国前100名的国家级经开区数5家，援外项目数6个，</w:t>
            </w:r>
          </w:p>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岳阳海运直达趟次11次，新开国际客货运航线条数2条，消费促进季活动数量4场，新增年自非进口300万美元（含）以上企业数1个，外贸人才培养合格率100%，资金奖补合规性≥95%，援外培训学员合格率≥95%，国际航线航班平均执行率≥70%，总体方案改革试点任务实施率99.17%，资金下达及时率</w:t>
            </w:r>
          </w:p>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≥95%，市场运行监测报送率90%，全省外贸依存度11%，社会消费品零售总额增幅5.40%，带动境外就业人数6095人。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绩效目标</w:t>
            </w:r>
          </w:p>
        </w:tc>
        <w:tc>
          <w:tcPr>
            <w:tcW w:w="50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一级指标</w:t>
            </w:r>
          </w:p>
        </w:tc>
        <w:tc>
          <w:tcPr>
            <w:tcW w:w="463"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二级指标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三级指标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年度指标值</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实际完成值</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分值</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得分</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绩效指标</w:t>
            </w:r>
          </w:p>
        </w:tc>
        <w:tc>
          <w:tcPr>
            <w:tcW w:w="509"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产出指标（50分）</w:t>
            </w:r>
          </w:p>
        </w:tc>
        <w:tc>
          <w:tcPr>
            <w:tcW w:w="463"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数量指标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新增加工贸易企业数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≥15家</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23家</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培育跨境电商产业园、产业带、海外仓、孵化中心等项目数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≥8个</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9个</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支持国际合作园区数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≥1个</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1个</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综合评价进入全国前100名的国家级经开区数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≥3家</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5家</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援外项目数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≥4个</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岳阳海运直达趟次</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≥10次</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11</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新开国际客货运航线条数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≥2条</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消费促进季活动数量</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≥4场</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4场</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新增年自非进口300万美元（含）以上企业数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≥1家</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质量指标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资金奖补合规性</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援外培训学员合格率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国际航线航班平均执行率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≥70%</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≥70%</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eastAsia" w:eastAsia="仿宋"/>
                <w:kern w:val="0"/>
                <w:sz w:val="22"/>
                <w:szCs w:val="22"/>
                <w:lang w:eastAsia="zh-CN"/>
              </w:rPr>
            </w:pPr>
            <w:r>
              <w:rPr>
                <w:rFonts w:hint="eastAsia" w:eastAsia="仿宋"/>
                <w:kern w:val="0"/>
                <w:sz w:val="22"/>
                <w:szCs w:val="22"/>
                <w:lang w:eastAsia="zh-CN"/>
              </w:rPr>
              <w:t>外贸人才培养合格率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lang w:val="en-US" w:eastAsia="zh-CN"/>
              </w:rPr>
            </w:pPr>
            <w:r>
              <w:rPr>
                <w:rFonts w:hint="eastAsia" w:eastAsia="仿宋"/>
                <w:kern w:val="0"/>
                <w:sz w:val="22"/>
                <w:szCs w:val="22"/>
                <w:lang w:val="en-US" w:eastAsia="zh-CN"/>
              </w:rPr>
              <w:t>100%</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lang w:val="en-US" w:eastAsia="zh-CN" w:bidi="ar-SA"/>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总体方案改革试点任务实施率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≥98%</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99.17%</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时效指标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资金下达及时率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市场运行监测报送率</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成本指标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预算控制内</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预算控制内</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预算控制内</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效益指标（30分）</w:t>
            </w:r>
          </w:p>
        </w:tc>
        <w:tc>
          <w:tcPr>
            <w:tcW w:w="463"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经济效益指标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全省外贸依存度</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11%</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社会消费品零售总额增幅</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5.40%</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463"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社会效益指标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带动境外就业人数</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≥6000人</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6095</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50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满意度指标（10分）</w:t>
            </w:r>
          </w:p>
        </w:tc>
        <w:tc>
          <w:tcPr>
            <w:tcW w:w="463"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服务对象满意度指标</w:t>
            </w:r>
          </w:p>
        </w:tc>
        <w:tc>
          <w:tcPr>
            <w:tcW w:w="86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外贸企业满意度</w:t>
            </w:r>
          </w:p>
        </w:tc>
        <w:tc>
          <w:tcPr>
            <w:tcW w:w="61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62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31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lang w:val="en" w:eastAsia="zh-CN"/>
              </w:rPr>
            </w:pPr>
            <w:r>
              <w:rPr>
                <w:rFonts w:hint="default" w:eastAsia="仿宋"/>
                <w:kern w:val="0"/>
                <w:sz w:val="22"/>
                <w:szCs w:val="22"/>
                <w:lang w:val="en"/>
              </w:rPr>
              <w:t>9.9</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18"/>
                <w:szCs w:val="18"/>
              </w:rPr>
              <w:t>消费者体验感不强。不少消费者反应申报资料偏多、审核周期长、资金发放慢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19" w:type="pct"/>
            <w:gridSpan w:val="6"/>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总分</w:t>
            </w:r>
          </w:p>
        </w:tc>
        <w:tc>
          <w:tcPr>
            <w:tcW w:w="318" w:type="pct"/>
            <w:noWrap/>
            <w:vAlign w:val="center"/>
          </w:tcPr>
          <w:p>
            <w:pPr>
              <w:keepNext w:val="0"/>
              <w:keepLines w:val="0"/>
              <w:widowControl/>
              <w:suppressLineNumbers w:val="0"/>
              <w:spacing w:before="0" w:beforeAutospacing="0" w:after="0" w:afterAutospacing="0" w:line="0" w:lineRule="atLeast"/>
              <w:ind w:left="0" w:right="0"/>
              <w:jc w:val="center"/>
              <w:rPr>
                <w:rFonts w:hint="default" w:eastAsia="仿宋"/>
                <w:color w:val="auto"/>
                <w:kern w:val="0"/>
                <w:sz w:val="22"/>
                <w:szCs w:val="22"/>
              </w:rPr>
            </w:pPr>
            <w:r>
              <w:rPr>
                <w:rFonts w:hint="default" w:eastAsia="仿宋"/>
                <w:color w:val="auto"/>
                <w:kern w:val="0"/>
                <w:sz w:val="22"/>
                <w:szCs w:val="22"/>
              </w:rPr>
              <w:t>100</w:t>
            </w:r>
          </w:p>
        </w:tc>
        <w:tc>
          <w:tcPr>
            <w:tcW w:w="469" w:type="pct"/>
            <w:noWrap w:val="0"/>
            <w:vAlign w:val="center"/>
          </w:tcPr>
          <w:p>
            <w:pPr>
              <w:keepNext w:val="0"/>
              <w:keepLines w:val="0"/>
              <w:widowControl/>
              <w:suppressLineNumbers w:val="0"/>
              <w:spacing w:before="0" w:beforeAutospacing="0" w:after="0" w:afterAutospacing="0" w:line="0" w:lineRule="atLeast"/>
              <w:ind w:left="0" w:right="0"/>
              <w:jc w:val="center"/>
              <w:rPr>
                <w:rFonts w:hint="eastAsia" w:eastAsia="仿宋"/>
                <w:color w:val="auto"/>
                <w:kern w:val="0"/>
                <w:sz w:val="22"/>
                <w:szCs w:val="22"/>
                <w:lang w:eastAsia="zh-CN"/>
              </w:rPr>
            </w:pPr>
            <w:r>
              <w:rPr>
                <w:rFonts w:hint="eastAsia" w:eastAsia="仿宋"/>
                <w:color w:val="auto"/>
                <w:kern w:val="0"/>
                <w:sz w:val="22"/>
                <w:szCs w:val="22"/>
                <w:lang w:val="en-US" w:eastAsia="zh-CN"/>
              </w:rPr>
              <w:t>99.9</w:t>
            </w:r>
          </w:p>
        </w:tc>
        <w:tc>
          <w:tcPr>
            <w:tcW w:w="791"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bl>
    <w:p>
      <w:pPr>
        <w:tabs>
          <w:tab w:val="center" w:pos="4153"/>
          <w:tab w:val="right" w:pos="8306"/>
        </w:tabs>
        <w:rPr>
          <w:rFonts w:eastAsia="黑体"/>
          <w:sz w:val="32"/>
          <w:szCs w:val="32"/>
        </w:rPr>
        <w:sectPr>
          <w:pgSz w:w="11906" w:h="16838"/>
          <w:pgMar w:top="2041" w:right="1474" w:bottom="1757" w:left="1587" w:header="851" w:footer="992" w:gutter="0"/>
          <w:pgNumType w:fmt="numberInDash"/>
          <w:cols w:space="720" w:num="1"/>
          <w:rtlGutter w:val="0"/>
          <w:docGrid w:type="linesAndChars" w:linePitch="593" w:charSpace="0"/>
        </w:sectPr>
      </w:pPr>
    </w:p>
    <w:p>
      <w:pPr>
        <w:tabs>
          <w:tab w:val="center" w:pos="4153"/>
          <w:tab w:val="right" w:pos="8306"/>
        </w:tabs>
        <w:snapToGrid w:val="0"/>
        <w:jc w:val="left"/>
        <w:rPr>
          <w:rFonts w:eastAsia="黑体"/>
          <w:sz w:val="32"/>
          <w:szCs w:val="32"/>
        </w:rPr>
      </w:pPr>
      <w:r>
        <w:rPr>
          <w:rFonts w:eastAsia="黑体"/>
          <w:sz w:val="32"/>
          <w:szCs w:val="32"/>
        </w:rPr>
        <w:br w:type="page"/>
      </w:r>
      <w:r>
        <w:rPr>
          <w:rFonts w:eastAsia="黑体"/>
          <w:sz w:val="32"/>
          <w:szCs w:val="32"/>
        </w:rPr>
        <w:t>附件4</w:t>
      </w:r>
    </w:p>
    <w:p>
      <w:pPr>
        <w:widowControl/>
        <w:spacing w:after="200" w:line="560" w:lineRule="exact"/>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2024年度项目支出绩效自评表</w:t>
      </w:r>
    </w:p>
    <w:tbl>
      <w:tblPr>
        <w:tblStyle w:val="11"/>
        <w:tblW w:w="5805" w:type="pct"/>
        <w:tblInd w:w="-7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830"/>
        <w:gridCol w:w="860"/>
        <w:gridCol w:w="1594"/>
        <w:gridCol w:w="1134"/>
        <w:gridCol w:w="1524"/>
        <w:gridCol w:w="778"/>
        <w:gridCol w:w="80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项目支出名称</w:t>
            </w:r>
          </w:p>
        </w:tc>
        <w:tc>
          <w:tcPr>
            <w:tcW w:w="4403" w:type="pct"/>
            <w:gridSpan w:val="8"/>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项目资金（万元）</w:t>
            </w:r>
          </w:p>
        </w:tc>
        <w:tc>
          <w:tcPr>
            <w:tcW w:w="803" w:type="pct"/>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年初预算数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全年预算数</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全年执行数</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分值</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执行率</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803" w:type="pct"/>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年度资金总额</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7,170.55</w:t>
            </w:r>
          </w:p>
        </w:tc>
        <w:tc>
          <w:tcPr>
            <w:tcW w:w="538" w:type="pct"/>
            <w:noWrap w:val="0"/>
            <w:vAlign w:val="center"/>
          </w:tcPr>
          <w:p>
            <w:pPr>
              <w:keepNext w:val="0"/>
              <w:keepLines w:val="0"/>
              <w:widowControl/>
              <w:suppressLineNumbers w:val="0"/>
              <w:spacing w:before="0" w:beforeAutospacing="0" w:after="0" w:afterAutospacing="0" w:line="0" w:lineRule="atLeast"/>
              <w:ind w:left="0" w:right="0"/>
              <w:rPr>
                <w:rFonts w:hint="default" w:eastAsia="仿宋"/>
                <w:kern w:val="0"/>
                <w:sz w:val="22"/>
                <w:szCs w:val="22"/>
              </w:rPr>
            </w:pPr>
            <w:r>
              <w:rPr>
                <w:rFonts w:hint="default" w:eastAsia="仿宋"/>
                <w:kern w:val="0"/>
                <w:sz w:val="22"/>
                <w:szCs w:val="22"/>
              </w:rPr>
              <w:t>16,426.47</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12,300.15</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74.88%</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年度总体目标</w:t>
            </w:r>
          </w:p>
        </w:tc>
        <w:tc>
          <w:tcPr>
            <w:tcW w:w="2099" w:type="pct"/>
            <w:gridSpan w:val="4"/>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预期目标</w:t>
            </w:r>
          </w:p>
        </w:tc>
        <w:tc>
          <w:tcPr>
            <w:tcW w:w="2303" w:type="pct"/>
            <w:gridSpan w:val="4"/>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2099" w:type="pct"/>
            <w:gridSpan w:val="4"/>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针对新型产业链开展精准招商，利用中博会、“沪洽周”、“欧洽会”、进博会、消博会等重大经贸活动和重点展会活动平台，加强境内外经贸对接，推动我省招商引资高质量发展；组织和举办促消费活动，</w:t>
            </w:r>
          </w:p>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积极呼吁、组织企业参加活动，营造良好的消费氛围，全力推进商贸流通体系建设；开展商务和开放型经济宣传，向世界展示湖南良好的营商环境；开展行业统计分析，了解行业发展情况，加强商务信息化建设，提升信息平台对商务发展的支撑作用。</w:t>
            </w:r>
          </w:p>
        </w:tc>
        <w:tc>
          <w:tcPr>
            <w:tcW w:w="2303" w:type="pct"/>
            <w:gridSpan w:val="4"/>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全年完成巡检报告数巡检报告，1篇/周，全年信息发布数≥200条，每日巡检1次以上，全年安全检查次数2次以上，宣传推介湖南优势产业及商品300类，“创业中国梦”投融资推介会4场，小分队上门招商12批次，境外湘菜馆数量2000家，中博会对口接待国际国内团组429个，省外重大经贸活动18场次，湖南形象馆展览展示5场次，单一窗口中央标准版服务事项落地866项，办公设备使用故障率≤5%，信息系统软、硬件故障率≤5%，商务行业分析报告合格率≥95%，项目完成及时率≥95%，成本控制均在预算控制数内，绿色农产品及食品加工产业链签约总投资额353.6亿元，推动企业来湘投资到位资金1485.8亿元，“校友回湘”签约金额214.18亿元，发生信访群体性事件数0，新购置办公设备提升工作效率明显，参展企业满意度≥90%，职工满意度≥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restart"/>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绩效指标</w:t>
            </w:r>
          </w:p>
        </w:tc>
        <w:tc>
          <w:tcPr>
            <w:tcW w:w="394"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一级指标</w:t>
            </w:r>
          </w:p>
        </w:tc>
        <w:tc>
          <w:tcPr>
            <w:tcW w:w="408"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二级指标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三级指标</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年度指标值</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实际完成值</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分值</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得分</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restar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产出指标（50分）</w:t>
            </w:r>
          </w:p>
        </w:tc>
        <w:tc>
          <w:tcPr>
            <w:tcW w:w="408"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数量指标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巡检报告数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巡检报告，1篇/周</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巡检报告，1篇/周</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全年信息发布数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≥200条</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≥200条</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每日巡检次数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每日巡检1次以上</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每日巡检1次以上</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全年安全检查次数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2次以上</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2次以上</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宣传推介湖南优势产业及商品</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≥280类</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300类</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“创业中国梦”投融资推介会</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≥3场</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4场</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小分队上门招商</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≥10批次</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12批次</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境外湘菜馆数量</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≥2000家</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2000家</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中博会对口接待国际国内团组</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≥400个</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429　个</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省外重大经贸活动</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≥15场次</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18场次</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湖南形象馆展览展示</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≥4场次</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5场次</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单一窗口中央标准版服务事项落地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≥850项</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866项</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质量指标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办公设备使用故障率</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信息系统软、硬件故障率</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商务行业分析报告合格率</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时效指标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项目完成及时率</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≥95%</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成本指标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预算控制内</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预算控制内</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预算控制内</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restar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效益指标（30分）</w:t>
            </w:r>
          </w:p>
        </w:tc>
        <w:tc>
          <w:tcPr>
            <w:tcW w:w="408"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经济效益指标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绿色农产品及食品加工产业链签约总投资额</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≥300亿元</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353.6亿元</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推动企业来湘投资到位资金</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≥1300亿元</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1485.8亿元</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“校友回湘”签约金额</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≥200亿元</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214.18亿元</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发生信</w:t>
            </w:r>
          </w:p>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访群体性事件数</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0</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0</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可持续影响指标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新购置办公设备提升工作效率</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明显</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明显</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6</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restart"/>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r>
              <w:rPr>
                <w:rFonts w:hint="default" w:eastAsia="仿宋"/>
                <w:kern w:val="0"/>
                <w:sz w:val="22"/>
                <w:szCs w:val="22"/>
              </w:rPr>
              <w:t>满意度指标（10分）</w:t>
            </w:r>
          </w:p>
        </w:tc>
        <w:tc>
          <w:tcPr>
            <w:tcW w:w="408"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满意度指标</w:t>
            </w: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参展企业满意度</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596" w:type="pct"/>
            <w:vMerge w:val="continue"/>
            <w:noWrap w:val="0"/>
            <w:textDirection w:val="tbRlV"/>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394" w:type="pct"/>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default" w:eastAsia="仿宋"/>
                <w:kern w:val="0"/>
                <w:sz w:val="22"/>
                <w:szCs w:val="22"/>
              </w:rPr>
            </w:pPr>
          </w:p>
        </w:tc>
        <w:tc>
          <w:tcPr>
            <w:tcW w:w="408"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c>
          <w:tcPr>
            <w:tcW w:w="75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职工满意度</w:t>
            </w:r>
          </w:p>
        </w:tc>
        <w:tc>
          <w:tcPr>
            <w:tcW w:w="538"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72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≥90%</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5</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3420" w:type="pct"/>
            <w:gridSpan w:val="6"/>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r>
              <w:rPr>
                <w:rFonts w:hint="default" w:eastAsia="仿宋"/>
                <w:kern w:val="0"/>
                <w:sz w:val="22"/>
                <w:szCs w:val="22"/>
              </w:rPr>
              <w:t>总分</w:t>
            </w:r>
          </w:p>
        </w:tc>
        <w:tc>
          <w:tcPr>
            <w:tcW w:w="36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color w:val="auto"/>
                <w:kern w:val="0"/>
                <w:sz w:val="22"/>
                <w:szCs w:val="22"/>
              </w:rPr>
            </w:pPr>
            <w:r>
              <w:rPr>
                <w:rFonts w:hint="default" w:eastAsia="仿宋"/>
                <w:color w:val="auto"/>
                <w:kern w:val="0"/>
                <w:sz w:val="22"/>
                <w:szCs w:val="22"/>
              </w:rPr>
              <w:t>100</w:t>
            </w:r>
          </w:p>
        </w:tc>
        <w:tc>
          <w:tcPr>
            <w:tcW w:w="38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color w:val="auto"/>
                <w:kern w:val="0"/>
                <w:sz w:val="22"/>
                <w:szCs w:val="22"/>
              </w:rPr>
            </w:pPr>
            <w:r>
              <w:rPr>
                <w:rFonts w:hint="default" w:eastAsia="仿宋"/>
                <w:color w:val="auto"/>
                <w:kern w:val="0"/>
                <w:sz w:val="22"/>
                <w:szCs w:val="22"/>
              </w:rPr>
              <w:t>97</w:t>
            </w:r>
          </w:p>
        </w:tc>
        <w:tc>
          <w:tcPr>
            <w:tcW w:w="827"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eastAsia="仿宋"/>
                <w:kern w:val="0"/>
                <w:sz w:val="22"/>
                <w:szCs w:val="22"/>
              </w:rPr>
            </w:pPr>
          </w:p>
        </w:tc>
      </w:tr>
    </w:tbl>
    <w:p>
      <w:pPr>
        <w:sectPr>
          <w:footerReference r:id="rId9" w:type="default"/>
          <w:type w:val="continuous"/>
          <w:pgSz w:w="11906" w:h="16838"/>
          <w:pgMar w:top="2041" w:right="1474" w:bottom="1757" w:left="1587" w:header="851" w:footer="992" w:gutter="0"/>
          <w:pgNumType w:fmt="numberInDash"/>
          <w:cols w:space="720" w:num="1"/>
          <w:rtlGutter w:val="0"/>
          <w:docGrid w:type="linesAndChars" w:linePitch="593" w:charSpace="0"/>
        </w:sectPr>
      </w:pPr>
    </w:p>
    <w:p>
      <w:pPr>
        <w:pStyle w:val="7"/>
        <w:rPr>
          <w:rFonts w:hint="eastAsia" w:ascii="仿宋_GB2312" w:eastAsia="仿宋_GB2312"/>
          <w:sz w:val="32"/>
          <w:szCs w:val="32"/>
        </w:rPr>
      </w:pPr>
    </w:p>
    <w:p>
      <w:pPr>
        <w:pStyle w:val="16"/>
        <w:spacing w:line="600" w:lineRule="exact"/>
        <w:ind w:firstLine="640" w:firstLineChars="200"/>
        <w:rPr>
          <w:rFonts w:ascii="Times New Roman" w:hAnsi="Times New Roman" w:eastAsia="仿宋_GB2312" w:cs="Times New Roman"/>
          <w:sz w:val="32"/>
          <w:szCs w:val="3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Calibri (正文)">
    <w:altName w:val="汉仪仿宋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5dblS0AAAAAUBAAAPAAAAAAAA&#10;AAEAIAAAADgAAABkcnMvZG93bnJldi54bWxQSwECFAAUAAAACACHTuJAWcMkrAQCAADvAwAADgAA&#10;AAAAAAABACAAAAA1AQAAZHJzL2Uyb0RvYy54bWxQSwUGAAAAAAYABgBZAQAAqwUAAAAA&#10;">
              <v:fill on="f" focussize="0,0"/>
              <v:stroke on="f"/>
              <v:imagedata o:title=""/>
              <o:lock v:ext="edit" aspectratio="t"/>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仿宋_GB2312" w:hAnsi="仿宋_GB2312" w:eastAsia="仿宋_GB2312"/>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6" w:lineRule="auto"/>
      <w:ind w:left="4070"/>
      <w:jc w:val="left"/>
      <w:textAlignment w:val="baseline"/>
      <w:rPr>
        <w:rFonts w:ascii="宋体" w:hAnsi="宋体" w:cs="宋体"/>
        <w:snapToGrid w:val="0"/>
        <w:color w:val="000000"/>
        <w:kern w:val="0"/>
        <w:sz w:val="28"/>
        <w:szCs w:val="28"/>
        <w:lang w:eastAsia="en-US"/>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eastAsia="en-US"/>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eastAsia="en-US"/>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BAA05"/>
    <w:multiLevelType w:val="singleLevel"/>
    <w:tmpl w:val="178BAA0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mRkM2MxODJiZTljMDFmNzRmM2JhYjBjMTFlN2IifQ=="/>
  </w:docVars>
  <w:rsids>
    <w:rsidRoot w:val="00000000"/>
    <w:rsid w:val="03552B05"/>
    <w:rsid w:val="081C4913"/>
    <w:rsid w:val="0CF02F47"/>
    <w:rsid w:val="0E0C1028"/>
    <w:rsid w:val="11AF385D"/>
    <w:rsid w:val="138D7B40"/>
    <w:rsid w:val="192C0EF7"/>
    <w:rsid w:val="19D41982"/>
    <w:rsid w:val="1A5600D3"/>
    <w:rsid w:val="1FF6A0F6"/>
    <w:rsid w:val="2127683B"/>
    <w:rsid w:val="23081339"/>
    <w:rsid w:val="27870033"/>
    <w:rsid w:val="2B8E44EF"/>
    <w:rsid w:val="2DCB21E9"/>
    <w:rsid w:val="2F7852BD"/>
    <w:rsid w:val="2FB67394"/>
    <w:rsid w:val="2FD110F7"/>
    <w:rsid w:val="31FFB6A0"/>
    <w:rsid w:val="33C8764B"/>
    <w:rsid w:val="39902D77"/>
    <w:rsid w:val="3D344362"/>
    <w:rsid w:val="3F57678B"/>
    <w:rsid w:val="40953D58"/>
    <w:rsid w:val="41CD7C17"/>
    <w:rsid w:val="423E7D32"/>
    <w:rsid w:val="431B7550"/>
    <w:rsid w:val="4874013D"/>
    <w:rsid w:val="4A9733B1"/>
    <w:rsid w:val="51345EE9"/>
    <w:rsid w:val="53B467D5"/>
    <w:rsid w:val="563464EA"/>
    <w:rsid w:val="56BFFCD1"/>
    <w:rsid w:val="5A8010F9"/>
    <w:rsid w:val="5A9A53AC"/>
    <w:rsid w:val="5D8C219B"/>
    <w:rsid w:val="615C12B9"/>
    <w:rsid w:val="639067A9"/>
    <w:rsid w:val="692A3D9F"/>
    <w:rsid w:val="6B2B3DFF"/>
    <w:rsid w:val="6CCD62CC"/>
    <w:rsid w:val="6F2024E7"/>
    <w:rsid w:val="6FE15387"/>
    <w:rsid w:val="70A06545"/>
    <w:rsid w:val="74A61642"/>
    <w:rsid w:val="74C22AAA"/>
    <w:rsid w:val="75680129"/>
    <w:rsid w:val="76051E1C"/>
    <w:rsid w:val="7773C5C7"/>
    <w:rsid w:val="79786DA9"/>
    <w:rsid w:val="7D1E2869"/>
    <w:rsid w:val="A4F65CB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ind w:left="420" w:leftChars="2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semiHidden/>
    <w:unhideWhenUsed/>
    <w:qFormat/>
    <w:uiPriority w:val="99"/>
    <w:rPr>
      <w:sz w:val="24"/>
    </w:rPr>
  </w:style>
  <w:style w:type="table" w:styleId="12">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ascii="仿宋_GB2312" w:eastAsia="仿宋_GB2312" w:cs="仿宋_GB2312"/>
      <w:color w:val="000000"/>
      <w:sz w:val="22"/>
      <w:szCs w:val="22"/>
      <w:u w:val="none"/>
    </w:rPr>
  </w:style>
  <w:style w:type="character" w:customStyle="1" w:styleId="23">
    <w:name w:val="font81"/>
    <w:basedOn w:val="13"/>
    <w:qFormat/>
    <w:uiPriority w:val="0"/>
    <w:rPr>
      <w:rFonts w:hint="eastAsia" w:ascii="仿宋_GB2312" w:eastAsia="仿宋_GB2312" w:cs="仿宋_GB2312"/>
      <w:b/>
      <w:bCs/>
      <w:color w:val="000000"/>
      <w:sz w:val="22"/>
      <w:szCs w:val="22"/>
      <w:u w:val="none"/>
    </w:rPr>
  </w:style>
  <w:style w:type="character" w:customStyle="1" w:styleId="24">
    <w:name w:val="font51"/>
    <w:basedOn w:val="13"/>
    <w:qFormat/>
    <w:uiPriority w:val="0"/>
    <w:rPr>
      <w:rFonts w:ascii="仿宋_GB2312" w:eastAsia="仿宋_GB2312" w:cs="仿宋_GB2312"/>
      <w:color w:val="000000"/>
      <w:sz w:val="22"/>
      <w:szCs w:val="22"/>
      <w:u w:val="none"/>
    </w:rPr>
  </w:style>
  <w:style w:type="character" w:customStyle="1" w:styleId="25">
    <w:name w:val="font41"/>
    <w:basedOn w:val="13"/>
    <w:qFormat/>
    <w:uiPriority w:val="0"/>
    <w:rPr>
      <w:rFonts w:ascii="仿宋_GB2312" w:eastAsia="仿宋_GB2312" w:cs="仿宋_GB2312"/>
      <w:color w:val="000000"/>
      <w:sz w:val="22"/>
      <w:szCs w:val="22"/>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character" w:customStyle="1" w:styleId="27">
    <w:name w:val="页脚 字符"/>
    <w:basedOn w:val="13"/>
    <w:link w:val="7"/>
    <w:qFormat/>
    <w:uiPriority w:val="0"/>
    <w:rPr>
      <w:rFonts w:hint="default" w:ascii="Calibri" w:hAnsi="Calibri" w:eastAsia="宋体"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23917</Words>
  <Characters>28246</Characters>
  <Lines>69</Lines>
  <Paragraphs>19</Paragraphs>
  <TotalTime>6</TotalTime>
  <ScaleCrop>false</ScaleCrop>
  <LinksUpToDate>false</LinksUpToDate>
  <CharactersWithSpaces>29643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xjkp</cp:lastModifiedBy>
  <cp:lastPrinted>2024-08-10T02:20:00Z</cp:lastPrinted>
  <dcterms:modified xsi:type="dcterms:W3CDTF">2025-09-10T10:08:06Z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BB7B6AA21D207914D6FDA268992A22D6</vt:lpwstr>
  </property>
</Properties>
</file>