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02" w:hanging="102"/>
        <w:jc w:val="both"/>
        <w:outlineLvl w:val="1"/>
        <w:rPr>
          <w:rFonts w:hint="default" w:ascii="黑体" w:hAnsi="Times New Roman" w:eastAsia="黑体" w:cs="黑体"/>
          <w:sz w:val="32"/>
          <w:szCs w:val="32"/>
          <w:lang w:val="en-US" w:eastAsia="zh-CN"/>
        </w:rPr>
      </w:pPr>
      <w:r>
        <w:rPr>
          <w:rFonts w:hint="eastAsia" w:ascii="黑体" w:hAnsi="Times New Roman" w:eastAsia="黑体" w:cs="黑体"/>
          <w:sz w:val="32"/>
          <w:szCs w:val="32"/>
          <w:lang w:eastAsia="zh-CN"/>
        </w:rPr>
        <w:t>附件</w:t>
      </w:r>
      <w:r>
        <w:rPr>
          <w:rFonts w:hint="eastAsia" w:ascii="黑体" w:hAnsi="Times New Roman" w:eastAsia="黑体" w:cs="黑体"/>
          <w:sz w:val="32"/>
          <w:szCs w:val="32"/>
          <w:lang w:val="en-US" w:eastAsia="zh-CN"/>
        </w:rPr>
        <w:t>2</w:t>
      </w:r>
    </w:p>
    <w:p>
      <w:pPr>
        <w:spacing w:line="360" w:lineRule="auto"/>
        <w:ind w:left="102" w:hanging="102"/>
        <w:jc w:val="center"/>
        <w:outlineLvl w:val="1"/>
        <w:rPr>
          <w:rFonts w:hint="eastAsia" w:ascii="方正小标宋简体" w:hAnsi="方正小标宋简体" w:eastAsia="方正小标宋简体" w:cs="方正小标宋简体"/>
          <w:sz w:val="32"/>
          <w:szCs w:val="32"/>
          <w:lang w:val="en-US" w:eastAsia="zh-CN"/>
        </w:rPr>
      </w:pPr>
      <w:bookmarkStart w:id="0" w:name="_GoBack"/>
      <w:r>
        <w:rPr>
          <w:rFonts w:hint="eastAsia" w:ascii="方正小标宋简体" w:hAnsi="方正小标宋简体" w:eastAsia="方正小标宋简体" w:cs="方正小标宋简体"/>
          <w:sz w:val="32"/>
          <w:szCs w:val="32"/>
        </w:rPr>
        <w:t>第</w:t>
      </w:r>
      <w:r>
        <w:rPr>
          <w:rFonts w:hint="eastAsia" w:ascii="方正小标宋简体" w:hAnsi="方正小标宋简体" w:eastAsia="方正小标宋简体" w:cs="方正小标宋简体"/>
          <w:sz w:val="32"/>
          <w:szCs w:val="32"/>
          <w:lang w:eastAsia="zh-CN"/>
        </w:rPr>
        <w:t>四</w:t>
      </w:r>
      <w:r>
        <w:rPr>
          <w:rFonts w:hint="eastAsia" w:ascii="方正小标宋简体" w:hAnsi="方正小标宋简体" w:eastAsia="方正小标宋简体" w:cs="方正小标宋简体"/>
          <w:sz w:val="32"/>
          <w:szCs w:val="32"/>
        </w:rPr>
        <w:t>届中非博览会</w:t>
      </w:r>
      <w:r>
        <w:rPr>
          <w:rFonts w:hint="eastAsia" w:ascii="方正小标宋简体" w:hAnsi="方正小标宋简体" w:eastAsia="方正小标宋简体" w:cs="方正小标宋简体"/>
          <w:sz w:val="32"/>
          <w:szCs w:val="32"/>
          <w:lang w:eastAsia="zh-CN"/>
        </w:rPr>
        <w:t>前期</w:t>
      </w:r>
      <w:r>
        <w:rPr>
          <w:rFonts w:hint="eastAsia" w:ascii="方正小标宋简体" w:hAnsi="方正小标宋简体" w:eastAsia="方正小标宋简体" w:cs="方正小标宋简体"/>
          <w:sz w:val="32"/>
          <w:szCs w:val="32"/>
        </w:rPr>
        <w:t>筹备车</w:t>
      </w:r>
      <w:r>
        <w:rPr>
          <w:rFonts w:hint="eastAsia" w:ascii="方正小标宋简体" w:hAnsi="方正小标宋简体" w:eastAsia="方正小标宋简体" w:cs="方正小标宋简体"/>
          <w:sz w:val="32"/>
          <w:szCs w:val="32"/>
          <w:lang w:eastAsia="zh-CN"/>
        </w:rPr>
        <w:t>辆保障服务项目</w:t>
      </w:r>
      <w:r>
        <w:rPr>
          <w:rFonts w:hint="eastAsia" w:ascii="方正小标宋简体" w:hAnsi="方正小标宋简体" w:eastAsia="方正小标宋简体" w:cs="方正小标宋简体"/>
          <w:sz w:val="32"/>
          <w:szCs w:val="32"/>
          <w:lang w:val="en-US" w:eastAsia="zh-CN"/>
        </w:rPr>
        <w:t>综合评分表</w:t>
      </w:r>
    </w:p>
    <w:bookmarkEnd w:id="0"/>
    <w:tbl>
      <w:tblPr>
        <w:tblStyle w:val="3"/>
        <w:tblW w:w="8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090"/>
        <w:gridCol w:w="831"/>
        <w:gridCol w:w="5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line="280" w:lineRule="exact"/>
              <w:jc w:val="center"/>
              <w:rPr>
                <w:rFonts w:hint="eastAsia" w:ascii="宋体" w:hAnsi="Times New Roman" w:cs="宋体"/>
                <w:b/>
                <w:bCs/>
                <w:sz w:val="21"/>
                <w:szCs w:val="21"/>
              </w:rPr>
            </w:pPr>
            <w:r>
              <w:rPr>
                <w:rFonts w:hint="eastAsia" w:ascii="宋体" w:hAnsi="Times New Roman" w:cs="宋体"/>
                <w:b/>
                <w:bCs/>
                <w:sz w:val="21"/>
                <w:szCs w:val="21"/>
              </w:rPr>
              <w:t>评审因素</w:t>
            </w:r>
          </w:p>
        </w:tc>
        <w:tc>
          <w:tcPr>
            <w:tcW w:w="109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line="280" w:lineRule="exact"/>
              <w:jc w:val="center"/>
              <w:rPr>
                <w:rFonts w:hint="eastAsia" w:ascii="宋体" w:hAnsi="Times New Roman" w:cs="宋体"/>
                <w:b/>
                <w:bCs/>
                <w:sz w:val="21"/>
                <w:szCs w:val="21"/>
              </w:rPr>
            </w:pPr>
            <w:r>
              <w:rPr>
                <w:rFonts w:hint="eastAsia" w:ascii="宋体" w:hAnsi="Times New Roman" w:cs="宋体"/>
                <w:b/>
                <w:bCs/>
                <w:sz w:val="21"/>
                <w:szCs w:val="21"/>
              </w:rPr>
              <w:t>计分因素</w:t>
            </w:r>
          </w:p>
        </w:tc>
        <w:tc>
          <w:tcPr>
            <w:tcW w:w="831"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line="280" w:lineRule="exact"/>
              <w:jc w:val="center"/>
              <w:rPr>
                <w:rFonts w:hint="eastAsia" w:ascii="宋体" w:hAnsi="Times New Roman" w:cs="宋体"/>
                <w:b/>
                <w:bCs/>
                <w:sz w:val="21"/>
                <w:szCs w:val="21"/>
              </w:rPr>
            </w:pPr>
            <w:r>
              <w:rPr>
                <w:rFonts w:hint="eastAsia" w:ascii="宋体" w:hAnsi="Times New Roman" w:cs="宋体"/>
                <w:b/>
                <w:bCs/>
                <w:sz w:val="21"/>
                <w:szCs w:val="21"/>
              </w:rPr>
              <w:t>分值</w:t>
            </w:r>
          </w:p>
        </w:tc>
        <w:tc>
          <w:tcPr>
            <w:tcW w:w="5736"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line="280" w:lineRule="exact"/>
              <w:jc w:val="center"/>
              <w:rPr>
                <w:rFonts w:hint="eastAsia" w:ascii="宋体" w:hAnsi="Times New Roman" w:cs="宋体"/>
                <w:b/>
                <w:bCs/>
                <w:sz w:val="21"/>
                <w:szCs w:val="21"/>
              </w:rPr>
            </w:pPr>
            <w:r>
              <w:rPr>
                <w:rFonts w:hint="eastAsia" w:ascii="宋体" w:hAnsi="Times New Roman" w:cs="宋体"/>
                <w:b/>
                <w:bCs/>
                <w:sz w:val="21"/>
                <w:szCs w:val="21"/>
              </w:rPr>
              <w:t>计分标准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exact"/>
          <w:jc w:val="center"/>
        </w:trPr>
        <w:tc>
          <w:tcPr>
            <w:tcW w:w="1095"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Times New Roman" w:cs="宋体"/>
                <w:color w:val="auto"/>
                <w:sz w:val="21"/>
                <w:szCs w:val="21"/>
              </w:rPr>
            </w:pPr>
            <w:r>
              <w:rPr>
                <w:rFonts w:hint="eastAsia" w:ascii="宋体" w:hAnsi="Times New Roman" w:cs="宋体"/>
                <w:color w:val="auto"/>
                <w:sz w:val="21"/>
                <w:szCs w:val="21"/>
              </w:rPr>
              <w:t>价格部分</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Times New Roman" w:cs="宋体"/>
                <w:color w:val="auto"/>
                <w:sz w:val="21"/>
                <w:szCs w:val="21"/>
              </w:rPr>
            </w:pPr>
            <w:r>
              <w:rPr>
                <w:rFonts w:hint="eastAsia" w:ascii="宋体" w:hAnsi="Times New Roman" w:cs="宋体"/>
                <w:color w:val="auto"/>
                <w:sz w:val="21"/>
                <w:szCs w:val="21"/>
              </w:rPr>
              <w:t>（</w:t>
            </w:r>
            <w:r>
              <w:rPr>
                <w:rFonts w:ascii="宋体" w:hAnsi="Times New Roman" w:cs="宋体"/>
                <w:color w:val="auto"/>
                <w:sz w:val="21"/>
                <w:szCs w:val="21"/>
              </w:rPr>
              <w:t>3</w:t>
            </w:r>
            <w:r>
              <w:rPr>
                <w:rFonts w:hint="eastAsia" w:ascii="宋体" w:hAnsi="Times New Roman" w:cs="宋体"/>
                <w:color w:val="auto"/>
                <w:sz w:val="21"/>
                <w:szCs w:val="21"/>
              </w:rPr>
              <w:t>0分）</w:t>
            </w:r>
          </w:p>
        </w:tc>
        <w:tc>
          <w:tcPr>
            <w:tcW w:w="10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Times New Roman" w:cs="宋体"/>
                <w:color w:val="auto"/>
                <w:sz w:val="21"/>
                <w:szCs w:val="21"/>
              </w:rPr>
            </w:pPr>
            <w:r>
              <w:rPr>
                <w:rFonts w:hint="eastAsia" w:ascii="宋体" w:hAnsi="Times New Roman" w:cs="宋体"/>
                <w:color w:val="auto"/>
                <w:sz w:val="21"/>
                <w:szCs w:val="21"/>
              </w:rPr>
              <w:t>投</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Times New Roman" w:cs="宋体"/>
                <w:color w:val="auto"/>
                <w:sz w:val="21"/>
                <w:szCs w:val="21"/>
              </w:rPr>
            </w:pPr>
            <w:r>
              <w:rPr>
                <w:rFonts w:hint="eastAsia" w:ascii="宋体" w:hAnsi="Times New Roman" w:cs="宋体"/>
                <w:color w:val="auto"/>
                <w:sz w:val="21"/>
                <w:szCs w:val="21"/>
              </w:rPr>
              <w:t>标</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Times New Roman" w:cs="宋体"/>
                <w:color w:val="auto"/>
                <w:sz w:val="21"/>
                <w:szCs w:val="21"/>
              </w:rPr>
            </w:pPr>
            <w:r>
              <w:rPr>
                <w:rFonts w:hint="eastAsia" w:ascii="宋体" w:hAnsi="Times New Roman" w:cs="宋体"/>
                <w:color w:val="auto"/>
                <w:sz w:val="21"/>
                <w:szCs w:val="21"/>
              </w:rPr>
              <w:t>报</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Times New Roman" w:cs="宋体"/>
                <w:color w:val="auto"/>
                <w:sz w:val="21"/>
                <w:szCs w:val="21"/>
              </w:rPr>
            </w:pPr>
            <w:r>
              <w:rPr>
                <w:rFonts w:hint="eastAsia" w:ascii="宋体" w:hAnsi="Times New Roman" w:cs="宋体"/>
                <w:color w:val="auto"/>
                <w:sz w:val="21"/>
                <w:szCs w:val="21"/>
              </w:rPr>
              <w:t>价</w:t>
            </w:r>
          </w:p>
        </w:tc>
        <w:tc>
          <w:tcPr>
            <w:tcW w:w="83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Times New Roman" w:cs="宋体"/>
                <w:color w:val="auto"/>
                <w:sz w:val="21"/>
                <w:szCs w:val="21"/>
              </w:rPr>
            </w:pPr>
            <w:r>
              <w:rPr>
                <w:rFonts w:ascii="宋体" w:hAnsi="Times New Roman" w:cs="宋体"/>
                <w:color w:val="auto"/>
                <w:sz w:val="21"/>
                <w:szCs w:val="21"/>
              </w:rPr>
              <w:t>3</w:t>
            </w:r>
            <w:r>
              <w:rPr>
                <w:rFonts w:hint="eastAsia" w:ascii="宋体" w:hAnsi="Times New Roman" w:cs="宋体"/>
                <w:color w:val="auto"/>
                <w:sz w:val="21"/>
                <w:szCs w:val="21"/>
              </w:rPr>
              <w:t>0分</w:t>
            </w:r>
          </w:p>
        </w:tc>
        <w:tc>
          <w:tcPr>
            <w:tcW w:w="57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Times New Roman" w:eastAsia="宋体" w:cs="宋体"/>
                <w:color w:val="auto"/>
                <w:sz w:val="21"/>
                <w:szCs w:val="21"/>
                <w:lang w:eastAsia="zh-CN"/>
              </w:rPr>
            </w:pPr>
            <w:r>
              <w:rPr>
                <w:rFonts w:hint="eastAsia" w:ascii="宋体" w:hAnsi="Times New Roman" w:cs="宋体"/>
                <w:color w:val="auto"/>
                <w:sz w:val="21"/>
                <w:szCs w:val="21"/>
              </w:rPr>
              <w:t>1</w:t>
            </w:r>
            <w:r>
              <w:rPr>
                <w:rFonts w:hint="eastAsia" w:ascii="宋体" w:hAnsi="Times New Roman" w:cs="宋体"/>
                <w:color w:val="auto"/>
                <w:sz w:val="21"/>
                <w:szCs w:val="21"/>
                <w:lang w:val="en-US" w:eastAsia="zh-CN"/>
              </w:rPr>
              <w:t>.</w:t>
            </w:r>
            <w:r>
              <w:rPr>
                <w:rFonts w:hint="eastAsia" w:ascii="宋体" w:hAnsi="Times New Roman" w:cs="宋体"/>
                <w:color w:val="auto"/>
                <w:sz w:val="21"/>
                <w:szCs w:val="21"/>
              </w:rPr>
              <w:t>满足采购文件要求且报价最低的供应商的价格为基准价，其价格分为满分</w:t>
            </w:r>
            <w:r>
              <w:rPr>
                <w:rFonts w:ascii="宋体" w:hAnsi="Times New Roman" w:cs="宋体"/>
                <w:color w:val="auto"/>
                <w:sz w:val="21"/>
                <w:szCs w:val="21"/>
              </w:rPr>
              <w:t>3</w:t>
            </w:r>
            <w:r>
              <w:rPr>
                <w:rFonts w:hint="eastAsia" w:ascii="宋体" w:hAnsi="Times New Roman" w:cs="宋体"/>
                <w:color w:val="auto"/>
                <w:sz w:val="21"/>
                <w:szCs w:val="21"/>
              </w:rPr>
              <w:t>0分。其它供应商的价格分统一按照下列公式计算：报价得分=（基准价/投标报价）×</w:t>
            </w:r>
            <w:r>
              <w:rPr>
                <w:rFonts w:ascii="宋体" w:hAnsi="Times New Roman" w:cs="宋体"/>
                <w:color w:val="auto"/>
                <w:sz w:val="21"/>
                <w:szCs w:val="21"/>
              </w:rPr>
              <w:t>3</w:t>
            </w:r>
            <w:r>
              <w:rPr>
                <w:rFonts w:hint="eastAsia" w:ascii="宋体" w:hAnsi="Times New Roman" w:cs="宋体"/>
                <w:color w:val="auto"/>
                <w:sz w:val="21"/>
                <w:szCs w:val="21"/>
              </w:rPr>
              <w:t>0</w:t>
            </w:r>
            <w:r>
              <w:rPr>
                <w:rFonts w:hint="eastAsia" w:ascii="宋体" w:hAnsi="Times New Roman"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Times New Roman" w:cs="宋体"/>
                <w:color w:val="auto"/>
                <w:sz w:val="21"/>
                <w:szCs w:val="21"/>
              </w:rPr>
            </w:pPr>
            <w:r>
              <w:rPr>
                <w:rFonts w:hint="eastAsia" w:ascii="宋体" w:hAnsi="Times New Roman" w:cs="宋体"/>
                <w:color w:val="auto"/>
                <w:sz w:val="21"/>
                <w:szCs w:val="21"/>
              </w:rPr>
              <w:t>2</w:t>
            </w:r>
            <w:r>
              <w:rPr>
                <w:rFonts w:hint="eastAsia" w:ascii="宋体" w:hAnsi="Times New Roman" w:cs="宋体"/>
                <w:color w:val="auto"/>
                <w:sz w:val="21"/>
                <w:szCs w:val="21"/>
                <w:lang w:val="en-US" w:eastAsia="zh-CN"/>
              </w:rPr>
              <w:t>.</w:t>
            </w:r>
            <w:r>
              <w:rPr>
                <w:rFonts w:hint="eastAsia" w:ascii="宋体" w:hAnsi="Times New Roman" w:cs="宋体"/>
                <w:color w:val="auto"/>
                <w:sz w:val="21"/>
                <w:szCs w:val="21"/>
              </w:rPr>
              <w:t>根据“财政部令第87号”第六十条的规定“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exact"/>
          <w:jc w:val="center"/>
        </w:trPr>
        <w:tc>
          <w:tcPr>
            <w:tcW w:w="1095"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Times New Roman" w:cs="宋体"/>
                <w:color w:val="auto"/>
                <w:sz w:val="21"/>
                <w:szCs w:val="21"/>
              </w:rPr>
            </w:pPr>
            <w:r>
              <w:rPr>
                <w:rFonts w:hint="eastAsia" w:ascii="宋体" w:hAnsi="Times New Roman" w:cs="宋体"/>
                <w:color w:val="auto"/>
                <w:sz w:val="21"/>
                <w:szCs w:val="21"/>
              </w:rPr>
              <w:t>技术部分（</w:t>
            </w:r>
            <w:r>
              <w:rPr>
                <w:rFonts w:hint="eastAsia" w:ascii="宋体" w:hAnsi="Times New Roman" w:cs="宋体"/>
                <w:color w:val="auto"/>
                <w:sz w:val="21"/>
                <w:szCs w:val="21"/>
                <w:lang w:val="en-US" w:eastAsia="zh-CN"/>
              </w:rPr>
              <w:t>5</w:t>
            </w:r>
            <w:r>
              <w:rPr>
                <w:rFonts w:hint="eastAsia" w:ascii="宋体" w:hAnsi="Times New Roman" w:cs="宋体"/>
                <w:color w:val="auto"/>
                <w:sz w:val="21"/>
                <w:szCs w:val="21"/>
              </w:rPr>
              <w:t>0）</w:t>
            </w:r>
          </w:p>
        </w:tc>
        <w:tc>
          <w:tcPr>
            <w:tcW w:w="10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务</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Times New Roman" w:cs="宋体"/>
                <w:color w:val="auto"/>
                <w:sz w:val="21"/>
                <w:szCs w:val="21"/>
              </w:rPr>
            </w:pPr>
            <w:r>
              <w:rPr>
                <w:rFonts w:hint="eastAsia" w:ascii="宋体" w:hAnsi="宋体" w:eastAsia="宋体" w:cs="宋体"/>
                <w:color w:val="auto"/>
                <w:sz w:val="21"/>
                <w:szCs w:val="21"/>
                <w:lang w:val="en-US" w:eastAsia="zh-CN"/>
              </w:rPr>
              <w:t>案</w:t>
            </w:r>
          </w:p>
        </w:tc>
        <w:tc>
          <w:tcPr>
            <w:tcW w:w="831"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Times New Roman" w:cs="宋体"/>
                <w:color w:val="auto"/>
                <w:sz w:val="21"/>
                <w:szCs w:val="21"/>
              </w:rPr>
            </w:pPr>
            <w:r>
              <w:rPr>
                <w:rFonts w:hint="eastAsia" w:ascii="宋体" w:hAnsi="Times New Roman" w:cs="宋体"/>
                <w:color w:val="auto"/>
                <w:sz w:val="21"/>
                <w:szCs w:val="21"/>
                <w:lang w:val="en-US" w:eastAsia="zh-CN"/>
              </w:rPr>
              <w:t>30分</w:t>
            </w:r>
          </w:p>
        </w:tc>
        <w:tc>
          <w:tcPr>
            <w:tcW w:w="5736"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line="300" w:lineRule="exact"/>
              <w:jc w:val="both"/>
              <w:textAlignment w:val="auto"/>
              <w:rPr>
                <w:rFonts w:ascii="宋体" w:hAnsi="宋体" w:eastAsia="宋体"/>
                <w:szCs w:val="21"/>
              </w:rPr>
            </w:pPr>
            <w:r>
              <w:rPr>
                <w:rFonts w:hint="eastAsia" w:ascii="宋体" w:hAnsi="宋体" w:eastAsia="宋体"/>
                <w:szCs w:val="21"/>
              </w:rPr>
              <w:t>根据供应商针对本项目需求及特点提供的服务方案，包括以下内容：①整体工作理念</w:t>
            </w:r>
            <w:r>
              <w:rPr>
                <w:rFonts w:hint="eastAsia" w:ascii="宋体" w:hAnsi="宋体" w:eastAsia="宋体"/>
                <w:szCs w:val="21"/>
                <w:lang w:eastAsia="zh-CN"/>
              </w:rPr>
              <w:t>、</w:t>
            </w:r>
            <w:r>
              <w:rPr>
                <w:rFonts w:hint="eastAsia" w:ascii="宋体" w:hAnsi="宋体" w:eastAsia="宋体"/>
                <w:szCs w:val="21"/>
              </w:rPr>
              <w:t>②服务承诺</w:t>
            </w:r>
            <w:r>
              <w:rPr>
                <w:rFonts w:hint="eastAsia" w:ascii="宋体" w:hAnsi="宋体" w:eastAsia="宋体"/>
                <w:szCs w:val="21"/>
                <w:lang w:eastAsia="zh-CN"/>
              </w:rPr>
              <w:t>、</w:t>
            </w:r>
            <w:r>
              <w:rPr>
                <w:rFonts w:hint="eastAsia" w:ascii="宋体" w:hAnsi="宋体" w:eastAsia="宋体"/>
                <w:szCs w:val="21"/>
              </w:rPr>
              <w:t>③工作任务划分</w:t>
            </w:r>
            <w:r>
              <w:rPr>
                <w:rFonts w:hint="eastAsia" w:ascii="宋体" w:hAnsi="宋体" w:eastAsia="宋体"/>
                <w:szCs w:val="21"/>
                <w:lang w:eastAsia="zh-CN"/>
              </w:rPr>
              <w:t>、</w:t>
            </w:r>
            <w:r>
              <w:rPr>
                <w:rFonts w:hint="eastAsia" w:ascii="宋体" w:hAnsi="宋体" w:eastAsia="宋体"/>
                <w:szCs w:val="21"/>
              </w:rPr>
              <w:t>④人员配置</w:t>
            </w:r>
            <w:r>
              <w:rPr>
                <w:rFonts w:hint="eastAsia" w:ascii="宋体" w:hAnsi="宋体" w:eastAsia="宋体"/>
                <w:szCs w:val="21"/>
                <w:lang w:eastAsia="zh-CN"/>
              </w:rPr>
              <w:t>、</w:t>
            </w:r>
            <w:r>
              <w:rPr>
                <w:rFonts w:hint="eastAsia" w:ascii="宋体" w:hAnsi="宋体" w:eastAsia="宋体"/>
                <w:szCs w:val="21"/>
              </w:rPr>
              <w:t>⑤</w:t>
            </w:r>
            <w:r>
              <w:rPr>
                <w:rFonts w:hint="eastAsia" w:ascii="宋体" w:hAnsi="宋体" w:eastAsia="宋体" w:cs="Times New Roman"/>
                <w:sz w:val="21"/>
                <w:szCs w:val="21"/>
              </w:rPr>
              <w:t>安全保障措施</w:t>
            </w:r>
            <w:r>
              <w:rPr>
                <w:rFonts w:hint="eastAsia" w:ascii="宋体" w:hAnsi="宋体" w:eastAsia="宋体" w:cs="Times New Roman"/>
                <w:sz w:val="21"/>
                <w:szCs w:val="21"/>
                <w:lang w:eastAsia="zh-CN"/>
              </w:rPr>
              <w:t>，</w:t>
            </w:r>
            <w:r>
              <w:rPr>
                <w:rFonts w:hint="eastAsia" w:ascii="宋体" w:hAnsi="宋体" w:eastAsia="宋体"/>
                <w:szCs w:val="21"/>
              </w:rPr>
              <w:t>根据这五项要素情况进行评分：</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Times New Roman" w:cs="宋体"/>
                <w:color w:val="auto"/>
                <w:sz w:val="21"/>
                <w:szCs w:val="21"/>
              </w:rPr>
            </w:pPr>
            <w:r>
              <w:rPr>
                <w:rFonts w:hint="eastAsia" w:ascii="宋体" w:hAnsi="宋体" w:eastAsia="宋体"/>
                <w:szCs w:val="21"/>
              </w:rPr>
              <w:t>整体工作理念先进，服务承诺到位，工作任务划分合理，人员配置齐全，</w:t>
            </w:r>
            <w:r>
              <w:rPr>
                <w:rFonts w:hint="eastAsia" w:ascii="宋体" w:hAnsi="宋体" w:eastAsia="宋体" w:cs="Times New Roman"/>
                <w:szCs w:val="21"/>
                <w:lang w:eastAsia="zh-CN"/>
              </w:rPr>
              <w:t>安全</w:t>
            </w:r>
            <w:r>
              <w:rPr>
                <w:rFonts w:hint="eastAsia" w:ascii="宋体" w:hAnsi="宋体" w:eastAsia="宋体" w:cs="Times New Roman"/>
                <w:sz w:val="21"/>
                <w:szCs w:val="21"/>
              </w:rPr>
              <w:t>措施方案制订内容详细</w:t>
            </w:r>
            <w:r>
              <w:rPr>
                <w:rFonts w:hint="eastAsia" w:ascii="宋体" w:hAnsi="宋体" w:eastAsia="宋体" w:cs="Times New Roman"/>
                <w:szCs w:val="21"/>
              </w:rPr>
              <w:t>，</w:t>
            </w:r>
            <w:r>
              <w:rPr>
                <w:rFonts w:hint="eastAsia" w:ascii="宋体" w:hAnsi="宋体" w:eastAsia="宋体"/>
                <w:szCs w:val="21"/>
              </w:rPr>
              <w:t>计</w:t>
            </w:r>
            <w:r>
              <w:rPr>
                <w:rFonts w:ascii="宋体" w:hAnsi="宋体" w:eastAsia="宋体"/>
                <w:szCs w:val="21"/>
              </w:rPr>
              <w:t>30</w:t>
            </w:r>
            <w:r>
              <w:rPr>
                <w:rFonts w:hint="eastAsia" w:ascii="宋体" w:hAnsi="宋体" w:eastAsia="宋体"/>
                <w:szCs w:val="21"/>
              </w:rPr>
              <w:t>分。每缺漏一项要素的，扣</w:t>
            </w:r>
            <w:r>
              <w:rPr>
                <w:rFonts w:ascii="宋体" w:hAnsi="宋体" w:eastAsia="宋体"/>
                <w:szCs w:val="21"/>
              </w:rPr>
              <w:t>6</w:t>
            </w:r>
            <w:r>
              <w:rPr>
                <w:rFonts w:hint="eastAsia" w:ascii="宋体" w:hAnsi="宋体" w:eastAsia="宋体"/>
                <w:szCs w:val="21"/>
              </w:rPr>
              <w:t>分；每有一处欠合理或不够完善的，扣</w:t>
            </w:r>
            <w:r>
              <w:rPr>
                <w:rFonts w:ascii="宋体" w:hAnsi="宋体" w:eastAsia="宋体"/>
                <w:szCs w:val="21"/>
              </w:rPr>
              <w:t>3</w:t>
            </w:r>
            <w:r>
              <w:rPr>
                <w:rFonts w:hint="eastAsia" w:ascii="宋体" w:hAnsi="宋体" w:eastAsia="宋体"/>
                <w:szCs w:val="21"/>
              </w:rPr>
              <w:t>分；扣完为止。未提供的，不计分。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exact"/>
          <w:jc w:val="center"/>
        </w:trPr>
        <w:tc>
          <w:tcPr>
            <w:tcW w:w="1095" w:type="dxa"/>
            <w:vMerge w:val="continue"/>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Times New Roman" w:hAnsi="Times New Roman"/>
                <w:color w:val="auto"/>
                <w:sz w:val="21"/>
                <w:szCs w:val="21"/>
              </w:rPr>
            </w:pPr>
          </w:p>
        </w:tc>
        <w:tc>
          <w:tcPr>
            <w:tcW w:w="10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auto"/>
              <w:jc w:val="center"/>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应</w:t>
            </w:r>
          </w:p>
          <w:p>
            <w:pPr>
              <w:spacing w:line="240" w:lineRule="auto"/>
              <w:jc w:val="center"/>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急</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预</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Times New Roman" w:eastAsia="宋体" w:cs="宋体"/>
                <w:color w:val="auto"/>
                <w:sz w:val="21"/>
                <w:szCs w:val="21"/>
                <w:lang w:eastAsia="zh-CN"/>
              </w:rPr>
            </w:pPr>
            <w:r>
              <w:rPr>
                <w:rFonts w:hint="eastAsia" w:ascii="Times New Roman" w:hAnsi="Times New Roman" w:eastAsia="仿宋_GB2312" w:cs="Times New Roman"/>
                <w:b w:val="0"/>
                <w:bCs w:val="0"/>
                <w:sz w:val="24"/>
                <w:szCs w:val="24"/>
                <w:vertAlign w:val="baseline"/>
                <w:lang w:val="en-US" w:eastAsia="zh-CN"/>
              </w:rPr>
              <w:t>案</w:t>
            </w:r>
          </w:p>
        </w:tc>
        <w:tc>
          <w:tcPr>
            <w:tcW w:w="831"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Times New Roman" w:eastAsia="宋体" w:cs="宋体"/>
                <w:color w:val="auto"/>
                <w:sz w:val="21"/>
                <w:szCs w:val="21"/>
                <w:lang w:val="en-US" w:eastAsia="zh-CN"/>
              </w:rPr>
            </w:pPr>
            <w:r>
              <w:rPr>
                <w:rFonts w:hint="eastAsia" w:ascii="宋体" w:hAnsi="Times New Roman" w:cs="宋体"/>
                <w:color w:val="auto"/>
                <w:sz w:val="21"/>
                <w:szCs w:val="21"/>
                <w:lang w:val="en-US" w:eastAsia="zh-CN"/>
              </w:rPr>
              <w:t>20分</w:t>
            </w:r>
          </w:p>
        </w:tc>
        <w:tc>
          <w:tcPr>
            <w:tcW w:w="5736" w:type="dxa"/>
            <w:tcBorders>
              <w:top w:val="single" w:color="auto" w:sz="4" w:space="0"/>
              <w:left w:val="single" w:color="auto" w:sz="4" w:space="0"/>
              <w:right w:val="single" w:color="auto" w:sz="4" w:space="0"/>
              <w:tl2br w:val="nil"/>
              <w:tr2bl w:val="nil"/>
            </w:tcBorders>
            <w:noWrap w:val="0"/>
            <w:vAlign w:val="center"/>
          </w:tcPr>
          <w:p>
            <w:pPr>
              <w:spacing w:line="300" w:lineRule="exact"/>
              <w:jc w:val="both"/>
              <w:rPr>
                <w:rFonts w:hint="eastAsia" w:ascii="宋体" w:hAnsi="宋体" w:eastAsia="宋体" w:cs="Times New Roman"/>
                <w:b w:val="0"/>
                <w:bCs w:val="0"/>
                <w:sz w:val="21"/>
                <w:szCs w:val="21"/>
                <w:vertAlign w:val="baseline"/>
                <w:lang w:val="en-US" w:eastAsia="zh-CN"/>
              </w:rPr>
            </w:pPr>
            <w:r>
              <w:rPr>
                <w:rFonts w:hint="eastAsia" w:ascii="宋体" w:hAnsi="宋体" w:eastAsia="宋体" w:cs="Times New Roman"/>
                <w:b w:val="0"/>
                <w:bCs w:val="0"/>
                <w:sz w:val="21"/>
                <w:szCs w:val="21"/>
                <w:vertAlign w:val="baseline"/>
                <w:lang w:val="en-US" w:eastAsia="zh-CN"/>
              </w:rPr>
              <w:t>根据供应商针对本项目提供的应急预案，从人员配备、车辆配置、备品备件、消防安全、疾病救治、道路障碍等方面进行综合评价：</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Times New Roman" w:cs="宋体"/>
                <w:color w:val="auto"/>
                <w:sz w:val="21"/>
                <w:szCs w:val="21"/>
              </w:rPr>
            </w:pPr>
            <w:r>
              <w:rPr>
                <w:rFonts w:hint="eastAsia" w:ascii="宋体" w:hAnsi="宋体" w:eastAsia="宋体" w:cs="Times New Roman"/>
                <w:b w:val="0"/>
                <w:bCs w:val="0"/>
                <w:sz w:val="21"/>
                <w:szCs w:val="21"/>
                <w:vertAlign w:val="baseline"/>
                <w:lang w:val="en-US" w:eastAsia="zh-CN"/>
              </w:rPr>
              <w:t>方案内容全面、配置合理、可操作性强、完全符合项目要求的计20分；方案内容基本全面、配置较为合理、可操作性较强、基本符合项目要求的计14分；方案内容不全面、缺乏合理性、可操作性不强、不完全符合项目要求的计8分；未提供方案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exact"/>
          <w:jc w:val="center"/>
        </w:trPr>
        <w:tc>
          <w:tcPr>
            <w:tcW w:w="1095"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Times New Roman" w:cs="宋体"/>
                <w:color w:val="auto"/>
                <w:sz w:val="21"/>
                <w:szCs w:val="21"/>
              </w:rPr>
            </w:pPr>
            <w:r>
              <w:rPr>
                <w:rFonts w:hint="eastAsia" w:ascii="宋体" w:hAnsi="Times New Roman" w:cs="宋体"/>
                <w:color w:val="auto"/>
                <w:sz w:val="21"/>
                <w:szCs w:val="21"/>
              </w:rPr>
              <w:t>商务部分（</w:t>
            </w:r>
            <w:r>
              <w:rPr>
                <w:rFonts w:hint="eastAsia" w:ascii="宋体" w:hAnsi="Times New Roman" w:cs="宋体"/>
                <w:color w:val="auto"/>
                <w:sz w:val="21"/>
                <w:szCs w:val="21"/>
                <w:lang w:val="en-US" w:eastAsia="zh-CN"/>
              </w:rPr>
              <w:t>20</w:t>
            </w:r>
            <w:r>
              <w:rPr>
                <w:rFonts w:hint="eastAsia" w:ascii="宋体" w:hAnsi="Times New Roman" w:cs="宋体"/>
                <w:color w:val="auto"/>
                <w:sz w:val="21"/>
                <w:szCs w:val="21"/>
              </w:rPr>
              <w:t>分）</w:t>
            </w:r>
          </w:p>
        </w:tc>
        <w:tc>
          <w:tcPr>
            <w:tcW w:w="10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类</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似</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业</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olor w:val="auto"/>
                <w:sz w:val="21"/>
                <w:szCs w:val="21"/>
                <w:lang w:val="en-US" w:eastAsia="zh-CN"/>
              </w:rPr>
            </w:pPr>
            <w:r>
              <w:rPr>
                <w:rFonts w:hint="eastAsia" w:ascii="宋体" w:hAnsi="宋体" w:eastAsia="宋体" w:cs="宋体"/>
                <w:color w:val="auto"/>
                <w:kern w:val="2"/>
                <w:sz w:val="21"/>
                <w:szCs w:val="21"/>
                <w:lang w:val="en-US" w:eastAsia="zh-CN" w:bidi="ar-SA"/>
              </w:rPr>
              <w:t>绩</w:t>
            </w:r>
          </w:p>
        </w:tc>
        <w:tc>
          <w:tcPr>
            <w:tcW w:w="83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Times New Roman" w:eastAsia="宋体" w:cs="宋体"/>
                <w:color w:val="auto"/>
                <w:sz w:val="21"/>
                <w:szCs w:val="21"/>
                <w:lang w:val="en-US" w:eastAsia="zh-CN"/>
              </w:rPr>
            </w:pPr>
            <w:r>
              <w:rPr>
                <w:rFonts w:hint="eastAsia" w:ascii="宋体" w:hAnsi="Times New Roman" w:cs="宋体"/>
                <w:color w:val="auto"/>
                <w:sz w:val="21"/>
                <w:szCs w:val="21"/>
                <w:lang w:val="en-US" w:eastAsia="zh-CN"/>
              </w:rPr>
              <w:t>2</w:t>
            </w:r>
            <w:r>
              <w:rPr>
                <w:rFonts w:hint="eastAsia" w:ascii="宋体" w:hAnsi="Times New Roman" w:eastAsia="宋体" w:cs="宋体"/>
                <w:color w:val="auto"/>
                <w:sz w:val="21"/>
                <w:szCs w:val="21"/>
                <w:lang w:val="en-US" w:eastAsia="zh-CN"/>
              </w:rPr>
              <w:t>0分</w:t>
            </w:r>
          </w:p>
        </w:tc>
        <w:tc>
          <w:tcPr>
            <w:tcW w:w="57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Times New Roman" w:eastAsia="宋体" w:cs="宋体"/>
                <w:color w:val="auto"/>
                <w:sz w:val="21"/>
                <w:szCs w:val="21"/>
                <w:lang w:val="en-US" w:eastAsia="zh-CN"/>
              </w:rPr>
            </w:pPr>
            <w:r>
              <w:rPr>
                <w:rFonts w:hint="eastAsia" w:ascii="宋体" w:hAnsi="Times New Roman" w:eastAsia="宋体" w:cs="宋体"/>
                <w:color w:val="auto"/>
                <w:sz w:val="21"/>
                <w:szCs w:val="21"/>
                <w:lang w:val="en-US" w:eastAsia="zh-CN"/>
              </w:rPr>
              <w:t>供应商自202</w:t>
            </w:r>
            <w:r>
              <w:rPr>
                <w:rFonts w:hint="eastAsia" w:ascii="宋体" w:hAnsi="Times New Roman" w:cs="宋体"/>
                <w:color w:val="auto"/>
                <w:sz w:val="21"/>
                <w:szCs w:val="21"/>
                <w:lang w:val="en-US" w:eastAsia="zh-CN"/>
              </w:rPr>
              <w:t>4</w:t>
            </w:r>
            <w:r>
              <w:rPr>
                <w:rFonts w:hint="eastAsia" w:ascii="宋体" w:hAnsi="Times New Roman" w:eastAsia="宋体" w:cs="宋体"/>
                <w:color w:val="auto"/>
                <w:sz w:val="21"/>
                <w:szCs w:val="21"/>
                <w:lang w:val="en-US" w:eastAsia="zh-CN"/>
              </w:rPr>
              <w:t>年1月1日以来（以合同签订时间为准）具有国家级大型经贸活动车辆保障配套服务业绩，每提供一个计10分，本项最高计</w:t>
            </w:r>
            <w:r>
              <w:rPr>
                <w:rFonts w:hint="eastAsia" w:ascii="宋体" w:hAnsi="Times New Roman" w:cs="宋体"/>
                <w:color w:val="auto"/>
                <w:sz w:val="21"/>
                <w:szCs w:val="21"/>
                <w:lang w:val="en-US" w:eastAsia="zh-CN"/>
              </w:rPr>
              <w:t>2</w:t>
            </w:r>
            <w:r>
              <w:rPr>
                <w:rFonts w:hint="eastAsia" w:ascii="宋体" w:hAnsi="Times New Roman" w:eastAsia="宋体" w:cs="宋体"/>
                <w:color w:val="auto"/>
                <w:sz w:val="21"/>
                <w:szCs w:val="21"/>
                <w:lang w:val="en-US" w:eastAsia="zh-CN"/>
              </w:rPr>
              <w:t>0分。</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宋体" w:hAnsi="Times New Roman" w:eastAsia="宋体" w:cs="宋体"/>
                <w:color w:val="auto"/>
                <w:sz w:val="21"/>
                <w:szCs w:val="21"/>
                <w:lang w:val="en-US" w:eastAsia="zh-CN"/>
              </w:rPr>
            </w:pPr>
            <w:r>
              <w:rPr>
                <w:rFonts w:hint="eastAsia" w:ascii="宋体" w:hAnsi="Times New Roman" w:eastAsia="宋体" w:cs="宋体"/>
                <w:color w:val="auto"/>
                <w:sz w:val="21"/>
                <w:szCs w:val="21"/>
                <w:lang w:val="en-US" w:eastAsia="zh-CN"/>
              </w:rPr>
              <w:t>提供合同关键页（含签订合同双方的单位名称、合同项目名称、服务内容与含签订合同双方的落款盖章、签订日期的关键页）复印件，未提供的不计分。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14F2C"/>
    <w:rsid w:val="6E414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样式 宋体 行距: 1.5 倍行距"/>
    <w:next w:val="1"/>
    <w:qFormat/>
    <w:uiPriority w:val="0"/>
    <w:pPr>
      <w:widowControl w:val="0"/>
      <w:jc w:val="center"/>
    </w:pPr>
    <w:rPr>
      <w:rFonts w:ascii="Times New Roman" w:hAnsi="Times New Roman" w:eastAsia="宋体" w:cs="Times New Roman"/>
      <w:b/>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2025-03-20T10:32:00Z</dcterms:created>
  <dc:creator>xjkp</dc:creator>
  <cp:lastModifiedBy>xjkp</cp:lastModifiedBy>
  <dcterms:modified xsi:type="dcterms:W3CDTF">2025-03-20T10:32:38Z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