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2" w:hanging="102"/>
        <w:jc w:val="center"/>
        <w:outlineLvl w:val="1"/>
        <w:rPr>
          <w:rFonts w:ascii="黑体" w:eastAsia="黑体" w:cs="黑体"/>
          <w:sz w:val="32"/>
          <w:szCs w:val="32"/>
        </w:rPr>
      </w:pPr>
      <w:r>
        <w:rPr>
          <w:rFonts w:hint="eastAsia" w:ascii="黑体" w:eastAsia="黑体" w:cs="黑体"/>
          <w:sz w:val="32"/>
          <w:szCs w:val="32"/>
        </w:rPr>
        <w:t>评分细则</w:t>
      </w:r>
    </w:p>
    <w:tbl>
      <w:tblPr>
        <w:tblStyle w:val="5"/>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995"/>
        <w:gridCol w:w="795"/>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cs="宋体"/>
                <w:b/>
                <w:bCs/>
                <w:sz w:val="18"/>
                <w:szCs w:val="18"/>
              </w:rPr>
            </w:pPr>
            <w:r>
              <w:rPr>
                <w:rFonts w:hint="eastAsia" w:ascii="宋体" w:cs="宋体"/>
                <w:b/>
                <w:bCs/>
                <w:sz w:val="18"/>
                <w:szCs w:val="18"/>
              </w:rPr>
              <w:t>评审因素</w:t>
            </w:r>
          </w:p>
        </w:tc>
        <w:tc>
          <w:tcPr>
            <w:tcW w:w="9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cs="宋体"/>
                <w:b/>
                <w:bCs/>
                <w:sz w:val="18"/>
                <w:szCs w:val="18"/>
              </w:rPr>
            </w:pPr>
            <w:r>
              <w:rPr>
                <w:rFonts w:hint="eastAsia" w:ascii="宋体" w:cs="宋体"/>
                <w:b/>
                <w:bCs/>
                <w:sz w:val="18"/>
                <w:szCs w:val="18"/>
              </w:rPr>
              <w:t>计分因素</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cs="宋体"/>
                <w:b/>
                <w:bCs/>
                <w:sz w:val="18"/>
                <w:szCs w:val="18"/>
              </w:rPr>
            </w:pPr>
            <w:r>
              <w:rPr>
                <w:rFonts w:hint="eastAsia" w:ascii="宋体" w:cs="宋体"/>
                <w:b/>
                <w:bCs/>
                <w:sz w:val="18"/>
                <w:szCs w:val="18"/>
              </w:rPr>
              <w:t>分值</w:t>
            </w:r>
          </w:p>
        </w:tc>
        <w:tc>
          <w:tcPr>
            <w:tcW w:w="649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cs="宋体"/>
                <w:b/>
                <w:bCs/>
                <w:sz w:val="18"/>
                <w:szCs w:val="18"/>
              </w:rPr>
            </w:pPr>
            <w:r>
              <w:rPr>
                <w:rFonts w:hint="eastAsia" w:ascii="宋体" w:cs="宋体"/>
                <w:b/>
                <w:bCs/>
                <w:sz w:val="18"/>
                <w:szCs w:val="18"/>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95" w:type="dxa"/>
            <w:tcBorders>
              <w:top w:val="single" w:color="auto" w:sz="4" w:space="0"/>
              <w:left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hint="eastAsia" w:ascii="宋体" w:cs="宋体"/>
                <w:sz w:val="18"/>
                <w:szCs w:val="18"/>
              </w:rPr>
              <w:t>价格部分</w:t>
            </w:r>
          </w:p>
          <w:p>
            <w:pPr>
              <w:spacing w:line="240" w:lineRule="exact"/>
              <w:jc w:val="center"/>
              <w:rPr>
                <w:rFonts w:ascii="宋体" w:cs="宋体"/>
                <w:sz w:val="18"/>
                <w:szCs w:val="18"/>
              </w:rPr>
            </w:pPr>
            <w:r>
              <w:rPr>
                <w:rFonts w:hint="eastAsia" w:ascii="宋体" w:cs="宋体"/>
                <w:sz w:val="18"/>
                <w:szCs w:val="18"/>
              </w:rPr>
              <w:t>（</w:t>
            </w:r>
            <w:r>
              <w:rPr>
                <w:rFonts w:ascii="宋体" w:cs="宋体"/>
                <w:sz w:val="18"/>
                <w:szCs w:val="18"/>
              </w:rPr>
              <w:t>3</w:t>
            </w:r>
            <w:r>
              <w:rPr>
                <w:rFonts w:hint="eastAsia" w:ascii="宋体" w:cs="宋体"/>
                <w:sz w:val="18"/>
                <w:szCs w:val="18"/>
              </w:rPr>
              <w:t>0分）</w:t>
            </w:r>
          </w:p>
        </w:tc>
        <w:tc>
          <w:tcPr>
            <w:tcW w:w="9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hint="eastAsia" w:ascii="宋体" w:cs="宋体"/>
                <w:sz w:val="18"/>
                <w:szCs w:val="18"/>
              </w:rPr>
              <w:t>投标报价</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ascii="宋体" w:cs="宋体"/>
                <w:sz w:val="18"/>
                <w:szCs w:val="18"/>
              </w:rPr>
              <w:t>3</w:t>
            </w:r>
            <w:r>
              <w:rPr>
                <w:rFonts w:hint="eastAsia" w:ascii="宋体" w:cs="宋体"/>
                <w:sz w:val="18"/>
                <w:szCs w:val="18"/>
              </w:rPr>
              <w:t>0分</w:t>
            </w:r>
          </w:p>
        </w:tc>
        <w:tc>
          <w:tcPr>
            <w:tcW w:w="649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cs="宋体"/>
                <w:sz w:val="18"/>
                <w:szCs w:val="18"/>
              </w:rPr>
            </w:pPr>
            <w:r>
              <w:rPr>
                <w:rFonts w:hint="eastAsia" w:ascii="宋体" w:cs="宋体"/>
                <w:sz w:val="18"/>
                <w:szCs w:val="18"/>
              </w:rPr>
              <w:t>1、满足采购文件要求且报价最低的供应商的价格为基准价，其价格分为满分</w:t>
            </w:r>
            <w:r>
              <w:rPr>
                <w:rFonts w:ascii="宋体" w:cs="宋体"/>
                <w:sz w:val="18"/>
                <w:szCs w:val="18"/>
              </w:rPr>
              <w:t>3</w:t>
            </w:r>
            <w:r>
              <w:rPr>
                <w:rFonts w:hint="eastAsia" w:ascii="宋体" w:cs="宋体"/>
                <w:sz w:val="18"/>
                <w:szCs w:val="18"/>
              </w:rPr>
              <w:t>0分。其它供应商的价格分统一按照下列公式计算：报价得分=（基准价/投标报价）×</w:t>
            </w:r>
            <w:r>
              <w:rPr>
                <w:rFonts w:ascii="宋体" w:cs="宋体"/>
                <w:sz w:val="18"/>
                <w:szCs w:val="18"/>
              </w:rPr>
              <w:t>3</w:t>
            </w:r>
            <w:r>
              <w:rPr>
                <w:rFonts w:hint="eastAsia" w:ascii="宋体" w:cs="宋体"/>
                <w:sz w:val="18"/>
                <w:szCs w:val="18"/>
              </w:rPr>
              <w:t>0</w:t>
            </w:r>
          </w:p>
          <w:p>
            <w:pPr>
              <w:spacing w:line="240" w:lineRule="exact"/>
              <w:rPr>
                <w:rFonts w:ascii="宋体" w:cs="宋体"/>
                <w:sz w:val="18"/>
                <w:szCs w:val="18"/>
              </w:rPr>
            </w:pPr>
            <w:r>
              <w:rPr>
                <w:rFonts w:hint="eastAsia" w:ascii="宋体" w:cs="宋体"/>
                <w:sz w:val="18"/>
                <w:szCs w:val="18"/>
              </w:rPr>
              <w:t>2、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095" w:type="dxa"/>
            <w:vMerge w:val="restart"/>
            <w:tcBorders>
              <w:top w:val="single" w:color="auto" w:sz="4" w:space="0"/>
              <w:left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hint="eastAsia" w:ascii="宋体" w:cs="宋体"/>
                <w:sz w:val="18"/>
                <w:szCs w:val="18"/>
              </w:rPr>
              <w:t>技术部分（</w:t>
            </w:r>
            <w:r>
              <w:rPr>
                <w:rFonts w:hint="eastAsia" w:ascii="宋体" w:cs="宋体"/>
                <w:sz w:val="18"/>
                <w:szCs w:val="18"/>
                <w:lang w:val="en-US" w:eastAsia="zh-CN"/>
              </w:rPr>
              <w:t>5</w:t>
            </w:r>
            <w:r>
              <w:rPr>
                <w:rFonts w:hint="eastAsia" w:ascii="宋体" w:cs="宋体"/>
                <w:sz w:val="18"/>
                <w:szCs w:val="18"/>
              </w:rPr>
              <w:t>0分）</w:t>
            </w:r>
          </w:p>
        </w:tc>
        <w:tc>
          <w:tcPr>
            <w:tcW w:w="9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hint="eastAsia" w:ascii="宋体" w:cs="宋体"/>
                <w:sz w:val="18"/>
                <w:szCs w:val="18"/>
              </w:rPr>
              <w:t>服务方案</w:t>
            </w:r>
          </w:p>
        </w:tc>
        <w:tc>
          <w:tcPr>
            <w:tcW w:w="795" w:type="dxa"/>
            <w:tcBorders>
              <w:top w:val="single" w:color="auto" w:sz="4" w:space="0"/>
              <w:left w:val="single" w:color="auto" w:sz="4" w:space="0"/>
              <w:right w:val="single" w:color="auto" w:sz="4" w:space="0"/>
              <w:tl2br w:val="nil"/>
              <w:tr2bl w:val="nil"/>
            </w:tcBorders>
            <w:vAlign w:val="center"/>
          </w:tcPr>
          <w:p>
            <w:pPr>
              <w:spacing w:line="240" w:lineRule="exact"/>
              <w:jc w:val="center"/>
              <w:rPr>
                <w:rFonts w:hint="eastAsia" w:ascii="宋体" w:eastAsia="宋体" w:cs="宋体"/>
                <w:sz w:val="18"/>
                <w:szCs w:val="18"/>
                <w:lang w:eastAsia="zh-CN"/>
              </w:rPr>
            </w:pPr>
            <w:r>
              <w:rPr>
                <w:rFonts w:hint="eastAsia" w:ascii="宋体" w:cs="宋体"/>
                <w:sz w:val="18"/>
                <w:szCs w:val="18"/>
                <w:lang w:val="en-US" w:eastAsia="zh-CN"/>
              </w:rPr>
              <w:t>1</w:t>
            </w:r>
            <w:r>
              <w:rPr>
                <w:rFonts w:hint="eastAsia" w:ascii="宋体" w:cs="宋体"/>
                <w:sz w:val="18"/>
                <w:szCs w:val="18"/>
              </w:rPr>
              <w:t>0分</w:t>
            </w:r>
          </w:p>
        </w:tc>
        <w:tc>
          <w:tcPr>
            <w:tcW w:w="6499" w:type="dxa"/>
            <w:tcBorders>
              <w:top w:val="single" w:color="auto" w:sz="4" w:space="0"/>
              <w:left w:val="single" w:color="auto" w:sz="4" w:space="0"/>
              <w:right w:val="single" w:color="auto" w:sz="4" w:space="0"/>
              <w:tl2br w:val="nil"/>
              <w:tr2bl w:val="nil"/>
            </w:tcBorders>
          </w:tcPr>
          <w:p>
            <w:pPr>
              <w:spacing w:line="240" w:lineRule="exact"/>
              <w:rPr>
                <w:rFonts w:ascii="宋体" w:cs="宋体"/>
                <w:sz w:val="18"/>
                <w:szCs w:val="18"/>
                <w:lang w:val="zh-CN"/>
              </w:rPr>
            </w:pPr>
            <w:r>
              <w:rPr>
                <w:rFonts w:hint="eastAsia" w:ascii="宋体" w:cs="宋体"/>
                <w:sz w:val="18"/>
                <w:szCs w:val="18"/>
                <w:lang w:val="zh-CN"/>
              </w:rPr>
              <w:t>供应商根据本项目实际情况提供</w:t>
            </w:r>
            <w:r>
              <w:rPr>
                <w:rFonts w:hint="eastAsia" w:ascii="宋体" w:cs="宋体"/>
                <w:sz w:val="18"/>
                <w:szCs w:val="18"/>
              </w:rPr>
              <w:t>服务计划方案，包括但不限于以下要素：①服务团队人员与安排、②进度保障措施具体安排、③工作程序、④工作方法及措施</w:t>
            </w:r>
            <w:r>
              <w:rPr>
                <w:rFonts w:hint="eastAsia" w:ascii="宋体" w:cs="宋体"/>
                <w:sz w:val="18"/>
                <w:szCs w:val="18"/>
                <w:lang w:val="zh-CN"/>
              </w:rPr>
              <w:t>等要素进行评分：</w:t>
            </w:r>
          </w:p>
          <w:p>
            <w:pPr>
              <w:spacing w:line="240" w:lineRule="exact"/>
              <w:rPr>
                <w:rFonts w:ascii="宋体" w:cs="宋体"/>
                <w:sz w:val="18"/>
                <w:szCs w:val="18"/>
              </w:rPr>
            </w:pPr>
            <w:r>
              <w:rPr>
                <w:rFonts w:hint="eastAsia" w:ascii="宋体" w:cs="宋体"/>
                <w:sz w:val="18"/>
                <w:szCs w:val="18"/>
              </w:rPr>
              <w:t>思路明晰合理、措施完整、合理、实用、针对性强的计10分；每缺少一项要素的，扣2分；每有一处内容存在错误或缺陷的，扣2分，扣完为止。</w:t>
            </w:r>
          </w:p>
          <w:p>
            <w:pPr>
              <w:spacing w:line="240" w:lineRule="exact"/>
              <w:rPr>
                <w:rFonts w:ascii="宋体" w:cs="宋体"/>
                <w:sz w:val="18"/>
                <w:szCs w:val="18"/>
              </w:rPr>
            </w:pPr>
            <w:r>
              <w:rPr>
                <w:rFonts w:hint="eastAsia" w:ascii="宋体" w:cs="宋体"/>
                <w:sz w:val="18"/>
                <w:szCs w:val="18"/>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tcBorders>
              <w:left w:val="single" w:color="auto" w:sz="4" w:space="0"/>
              <w:right w:val="single" w:color="auto" w:sz="4" w:space="0"/>
              <w:tl2br w:val="nil"/>
              <w:tr2bl w:val="nil"/>
            </w:tcBorders>
            <w:vAlign w:val="center"/>
          </w:tcPr>
          <w:p/>
        </w:tc>
        <w:tc>
          <w:tcPr>
            <w:tcW w:w="9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ascii="宋体" w:cs="宋体"/>
                <w:sz w:val="18"/>
                <w:szCs w:val="18"/>
              </w:rPr>
              <w:t>质量管理措施</w:t>
            </w:r>
          </w:p>
        </w:tc>
        <w:tc>
          <w:tcPr>
            <w:tcW w:w="795" w:type="dxa"/>
            <w:tcBorders>
              <w:top w:val="single" w:color="auto" w:sz="4" w:space="0"/>
              <w:left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hint="eastAsia" w:ascii="宋体" w:cs="宋体"/>
                <w:sz w:val="18"/>
                <w:szCs w:val="18"/>
                <w:lang w:val="en-US" w:eastAsia="zh-CN"/>
              </w:rPr>
              <w:t>1</w:t>
            </w:r>
            <w:r>
              <w:rPr>
                <w:rFonts w:hint="eastAsia" w:ascii="宋体" w:cs="宋体"/>
                <w:sz w:val="18"/>
                <w:szCs w:val="18"/>
              </w:rPr>
              <w:t>0分</w:t>
            </w:r>
          </w:p>
        </w:tc>
        <w:tc>
          <w:tcPr>
            <w:tcW w:w="6499" w:type="dxa"/>
            <w:tcBorders>
              <w:top w:val="single" w:color="auto" w:sz="4" w:space="0"/>
              <w:left w:val="single" w:color="auto" w:sz="4" w:space="0"/>
              <w:right w:val="single" w:color="auto" w:sz="4" w:space="0"/>
              <w:tl2br w:val="nil"/>
              <w:tr2bl w:val="nil"/>
            </w:tcBorders>
          </w:tcPr>
          <w:p>
            <w:pPr>
              <w:spacing w:line="240" w:lineRule="exact"/>
              <w:rPr>
                <w:rFonts w:ascii="宋体" w:cs="宋体"/>
                <w:sz w:val="18"/>
                <w:szCs w:val="18"/>
                <w:lang w:val="zh-CN"/>
              </w:rPr>
            </w:pPr>
            <w:r>
              <w:rPr>
                <w:rFonts w:hint="eastAsia" w:ascii="宋体" w:cs="宋体"/>
                <w:sz w:val="18"/>
                <w:szCs w:val="18"/>
                <w:lang w:val="zh-CN"/>
              </w:rPr>
              <w:t>供应商根据本项目实际情况提供</w:t>
            </w:r>
            <w:r>
              <w:rPr>
                <w:rFonts w:ascii="宋体" w:cs="宋体"/>
                <w:sz w:val="18"/>
                <w:szCs w:val="18"/>
              </w:rPr>
              <w:t>质量管理措施</w:t>
            </w:r>
            <w:r>
              <w:rPr>
                <w:rFonts w:hint="eastAsia" w:ascii="宋体" w:cs="宋体"/>
                <w:sz w:val="18"/>
                <w:szCs w:val="18"/>
              </w:rPr>
              <w:t>，包括但不限于以下要素：①检测过程管理、②安全性检测过程体现、③廉洁风险防控</w:t>
            </w:r>
            <w:r>
              <w:rPr>
                <w:rFonts w:hint="eastAsia" w:ascii="宋体" w:cs="宋体"/>
                <w:sz w:val="18"/>
                <w:szCs w:val="18"/>
                <w:lang w:val="zh-CN"/>
              </w:rPr>
              <w:t>等要素进行评分：</w:t>
            </w:r>
          </w:p>
          <w:p>
            <w:pPr>
              <w:spacing w:line="240" w:lineRule="exact"/>
              <w:rPr>
                <w:rFonts w:ascii="宋体" w:cs="宋体"/>
                <w:sz w:val="18"/>
                <w:szCs w:val="18"/>
              </w:rPr>
            </w:pPr>
            <w:r>
              <w:rPr>
                <w:rFonts w:hint="eastAsia" w:ascii="宋体" w:cs="宋体"/>
                <w:sz w:val="18"/>
                <w:szCs w:val="18"/>
              </w:rPr>
              <w:t>思路明晰合理、措施完整、合理、实用、针对性强的计10分；每缺少一项要素的，扣5分；每有一处内容存在错误或缺陷的，扣2分，扣完为止。</w:t>
            </w:r>
          </w:p>
          <w:p>
            <w:pPr>
              <w:spacing w:line="240" w:lineRule="exact"/>
              <w:rPr>
                <w:rFonts w:ascii="宋体" w:cs="宋体"/>
                <w:sz w:val="18"/>
                <w:szCs w:val="18"/>
              </w:rPr>
            </w:pPr>
            <w:r>
              <w:rPr>
                <w:rFonts w:hint="eastAsia" w:ascii="宋体" w:cs="宋体"/>
                <w:sz w:val="18"/>
                <w:szCs w:val="18"/>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p>
            <w:pPr>
              <w:spacing w:line="240" w:lineRule="exact"/>
              <w:rPr>
                <w:rFonts w:ascii="宋体" w:cs="宋体"/>
                <w:sz w:val="18"/>
                <w:szCs w:val="18"/>
              </w:rPr>
            </w:pPr>
            <w:r>
              <w:rPr>
                <w:rFonts w:hint="eastAsia" w:ascii="宋体" w:cs="宋体"/>
                <w:sz w:val="18"/>
                <w:szCs w:val="18"/>
              </w:rPr>
              <w:t>供应商结合本项目实际情况，1、检测过程管理2、安全性检测过程体现，详细可行的内部审核及复核制度3、廉洁风险防控手段以减小评审误差、保证评审时效等方面，全部满足以上要求且方案合理可行的每项计3分；方案欠合理、欠完善的每项计1分； 未提供的不计分。满分为10分。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095" w:type="dxa"/>
            <w:vMerge w:val="continue"/>
            <w:tcBorders>
              <w:left w:val="single" w:color="auto" w:sz="4" w:space="0"/>
              <w:right w:val="single" w:color="auto" w:sz="4" w:space="0"/>
              <w:tl2br w:val="nil"/>
              <w:tr2bl w:val="nil"/>
            </w:tcBorders>
            <w:vAlign w:val="center"/>
          </w:tcPr>
          <w:p/>
        </w:tc>
        <w:tc>
          <w:tcPr>
            <w:tcW w:w="995" w:type="dxa"/>
            <w:tcBorders>
              <w:top w:val="single" w:color="auto" w:sz="4" w:space="0"/>
              <w:left w:val="single" w:color="auto" w:sz="4" w:space="0"/>
              <w:right w:val="single" w:color="auto" w:sz="4" w:space="0"/>
              <w:tl2br w:val="nil"/>
              <w:tr2bl w:val="nil"/>
            </w:tcBorders>
            <w:vAlign w:val="center"/>
          </w:tcPr>
          <w:p>
            <w:pPr>
              <w:adjustRightInd w:val="0"/>
              <w:snapToGrid w:val="0"/>
              <w:spacing w:line="240" w:lineRule="exact"/>
              <w:jc w:val="center"/>
              <w:rPr>
                <w:sz w:val="18"/>
                <w:szCs w:val="18"/>
              </w:rPr>
            </w:pPr>
            <w:r>
              <w:rPr>
                <w:rFonts w:hint="eastAsia"/>
                <w:sz w:val="18"/>
                <w:szCs w:val="18"/>
              </w:rPr>
              <w:t>服务团队能力</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jc w:val="center"/>
              <w:rPr>
                <w:sz w:val="18"/>
                <w:szCs w:val="18"/>
              </w:rPr>
            </w:pPr>
            <w:r>
              <w:rPr>
                <w:rFonts w:hint="eastAsia" w:ascii="宋体" w:cs="宋体"/>
                <w:sz w:val="18"/>
                <w:szCs w:val="18"/>
                <w:lang w:val="en-US" w:eastAsia="zh-CN"/>
              </w:rPr>
              <w:t>3</w:t>
            </w:r>
            <w:r>
              <w:rPr>
                <w:rFonts w:hint="eastAsia" w:ascii="宋体" w:cs="宋体"/>
                <w:sz w:val="18"/>
                <w:szCs w:val="18"/>
              </w:rPr>
              <w:t>0分</w:t>
            </w:r>
          </w:p>
        </w:tc>
        <w:tc>
          <w:tcPr>
            <w:tcW w:w="6499" w:type="dxa"/>
            <w:tcBorders>
              <w:top w:val="single" w:color="auto" w:sz="4" w:space="0"/>
              <w:left w:val="single" w:color="auto" w:sz="4" w:space="0"/>
              <w:right w:val="single" w:color="auto" w:sz="4" w:space="0"/>
              <w:tl2br w:val="nil"/>
              <w:tr2bl w:val="nil"/>
            </w:tcBorders>
            <w:vAlign w:val="center"/>
          </w:tcPr>
          <w:p>
            <w:pPr>
              <w:spacing w:line="240" w:lineRule="exact"/>
              <w:rPr>
                <w:rFonts w:ascii="宋体" w:cs="宋体"/>
                <w:sz w:val="18"/>
                <w:szCs w:val="18"/>
              </w:rPr>
            </w:pPr>
            <w:r>
              <w:rPr>
                <w:rFonts w:hint="eastAsia" w:ascii="宋体" w:cs="宋体"/>
                <w:sz w:val="18"/>
                <w:szCs w:val="18"/>
              </w:rPr>
              <w:t>1、拟投入项目成员具有中级职称人员计3分，最多计9分；（提供身份证、资格证书及项目成员委托书复印件，否则不计分）。</w:t>
            </w:r>
          </w:p>
          <w:p>
            <w:pPr>
              <w:rPr>
                <w:rFonts w:ascii="宋体" w:cs="宋体"/>
                <w:sz w:val="18"/>
                <w:szCs w:val="18"/>
              </w:rPr>
            </w:pPr>
            <w:r>
              <w:rPr>
                <w:rFonts w:hint="eastAsia" w:ascii="宋体" w:cs="宋体"/>
                <w:sz w:val="18"/>
                <w:szCs w:val="18"/>
              </w:rPr>
              <w:t>2、在中华人民共和国范围内注册的，具有独立法人资格，拥有建设工程质量检测机构资质证书；每一个项目计2分，最多计6分。（提供公司营业执照、法人证明文件（法人身份证、授权书、委托书）、资质证书等</w:t>
            </w:r>
          </w:p>
          <w:p>
            <w:pPr>
              <w:spacing w:line="240" w:lineRule="exact"/>
              <w:rPr>
                <w:rFonts w:ascii="宋体" w:cs="宋体"/>
                <w:sz w:val="18"/>
                <w:szCs w:val="18"/>
              </w:rPr>
            </w:pPr>
            <w:r>
              <w:rPr>
                <w:rFonts w:hint="eastAsia" w:ascii="宋体" w:cs="宋体"/>
                <w:sz w:val="18"/>
                <w:szCs w:val="18"/>
              </w:rPr>
              <w:t>3、拟投入本项目负责人具备本科及以上学历、具有5年以上工程检测工作经验（以中级职称时间为准），且本项目负责人近二年具有类似项目工作经验（含舞台/会展检测），每一个项目工作经验计3分，最多计15分。（提供相关证明材料或检测报告复印</w:t>
            </w:r>
            <w:bookmarkStart w:id="0" w:name="_GoBack"/>
            <w:bookmarkEnd w:id="0"/>
            <w:r>
              <w:rPr>
                <w:rFonts w:hint="eastAsia" w:ascii="宋体" w:cs="宋体"/>
                <w:sz w:val="18"/>
                <w:szCs w:val="18"/>
              </w:rPr>
              <w:t>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95" w:type="dxa"/>
            <w:vMerge w:val="restart"/>
            <w:tcBorders>
              <w:top w:val="single" w:color="auto" w:sz="4" w:space="0"/>
              <w:left w:val="single" w:color="auto" w:sz="4" w:space="0"/>
              <w:right w:val="single" w:color="auto" w:sz="4" w:space="0"/>
              <w:tl2br w:val="nil"/>
              <w:tr2bl w:val="nil"/>
            </w:tcBorders>
            <w:vAlign w:val="center"/>
          </w:tcPr>
          <w:p>
            <w:pPr>
              <w:widowControl/>
              <w:spacing w:line="240" w:lineRule="exact"/>
              <w:jc w:val="center"/>
              <w:rPr>
                <w:rFonts w:ascii="宋体" w:cs="宋体"/>
                <w:sz w:val="18"/>
                <w:szCs w:val="18"/>
              </w:rPr>
            </w:pPr>
            <w:r>
              <w:rPr>
                <w:rFonts w:hint="eastAsia" w:ascii="宋体" w:cs="宋体"/>
                <w:sz w:val="18"/>
                <w:szCs w:val="18"/>
              </w:rPr>
              <w:t>商务部分（</w:t>
            </w:r>
            <w:r>
              <w:rPr>
                <w:rFonts w:hint="eastAsia" w:ascii="宋体" w:cs="宋体"/>
                <w:sz w:val="18"/>
                <w:szCs w:val="18"/>
                <w:lang w:val="en-US" w:eastAsia="zh-CN"/>
              </w:rPr>
              <w:t>2</w:t>
            </w:r>
            <w:r>
              <w:rPr>
                <w:rFonts w:hint="eastAsia" w:ascii="宋体" w:cs="宋体"/>
                <w:sz w:val="18"/>
                <w:szCs w:val="18"/>
              </w:rPr>
              <w:t>0分）</w:t>
            </w:r>
          </w:p>
        </w:tc>
        <w:tc>
          <w:tcPr>
            <w:tcW w:w="9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jc w:val="center"/>
              <w:rPr>
                <w:sz w:val="18"/>
                <w:szCs w:val="18"/>
              </w:rPr>
            </w:pPr>
            <w:r>
              <w:rPr>
                <w:sz w:val="18"/>
                <w:szCs w:val="18"/>
              </w:rPr>
              <w:t>合理化建议</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jc w:val="center"/>
              <w:rPr>
                <w:sz w:val="18"/>
                <w:szCs w:val="18"/>
              </w:rPr>
            </w:pPr>
            <w:r>
              <w:rPr>
                <w:rFonts w:hint="eastAsia" w:ascii="宋体" w:cs="宋体"/>
                <w:sz w:val="18"/>
                <w:szCs w:val="18"/>
                <w:lang w:val="en-US" w:eastAsia="zh-CN"/>
              </w:rPr>
              <w:t>5</w:t>
            </w:r>
            <w:r>
              <w:rPr>
                <w:rFonts w:hint="eastAsia" w:ascii="宋体" w:cs="宋体"/>
                <w:sz w:val="18"/>
                <w:szCs w:val="18"/>
              </w:rPr>
              <w:t>分</w:t>
            </w:r>
          </w:p>
        </w:tc>
        <w:tc>
          <w:tcPr>
            <w:tcW w:w="649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cs="宋体"/>
                <w:sz w:val="18"/>
                <w:szCs w:val="18"/>
              </w:rPr>
            </w:pPr>
            <w:r>
              <w:rPr>
                <w:rFonts w:hint="eastAsia" w:ascii="宋体" w:cs="宋体"/>
                <w:sz w:val="18"/>
                <w:szCs w:val="18"/>
              </w:rPr>
              <w:t>结合本项目实际情况，供应商提出对当前工作中的检测过程、检测安全性、检测过程出现的问题如何合理应对提出建议；每提供1条可行的合理化建议计1分，最多计5分；未提供的不计分。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95" w:type="dxa"/>
            <w:vMerge w:val="continue"/>
            <w:tcBorders>
              <w:left w:val="single" w:color="auto" w:sz="4" w:space="0"/>
              <w:right w:val="single" w:color="auto" w:sz="4" w:space="0"/>
              <w:tl2br w:val="nil"/>
              <w:tr2bl w:val="nil"/>
            </w:tcBorders>
            <w:vAlign w:val="center"/>
          </w:tcPr>
          <w:p/>
        </w:tc>
        <w:tc>
          <w:tcPr>
            <w:tcW w:w="9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jc w:val="center"/>
            </w:pPr>
            <w:r>
              <w:rPr>
                <w:rFonts w:hint="eastAsia"/>
                <w:sz w:val="18"/>
                <w:szCs w:val="18"/>
              </w:rPr>
              <w:t>业绩</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宋体"/>
                <w:sz w:val="18"/>
                <w:szCs w:val="18"/>
              </w:rPr>
            </w:pPr>
            <w:r>
              <w:rPr>
                <w:rFonts w:hint="eastAsia" w:ascii="宋体" w:cs="宋体"/>
                <w:sz w:val="18"/>
                <w:szCs w:val="18"/>
                <w:lang w:val="en-US" w:eastAsia="zh-CN"/>
              </w:rPr>
              <w:t>15</w:t>
            </w:r>
            <w:r>
              <w:rPr>
                <w:rFonts w:hint="eastAsia" w:ascii="宋体" w:cs="宋体"/>
                <w:sz w:val="18"/>
                <w:szCs w:val="18"/>
              </w:rPr>
              <w:t>分</w:t>
            </w:r>
          </w:p>
        </w:tc>
        <w:tc>
          <w:tcPr>
            <w:tcW w:w="649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cs="宋体"/>
                <w:sz w:val="18"/>
                <w:szCs w:val="18"/>
              </w:rPr>
            </w:pPr>
            <w:r>
              <w:rPr>
                <w:rFonts w:hint="eastAsia" w:ascii="宋体" w:cs="宋体"/>
                <w:sz w:val="18"/>
                <w:szCs w:val="18"/>
              </w:rPr>
              <w:t>供应商提供近投标截止时间前二年的类似项目业绩（含检测报告），每项业绩计5分，最高计15分，(提供检测报告复印件作为证明材料，未提供的不计分。以上材料如提供的复印件不清晰或缺漏的不予计分)。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NTM3YTMwNDdkNDY3OTkwOGU3MTZkOGQ2ODA5ODIifQ=="/>
  </w:docVars>
  <w:rsids>
    <w:rsidRoot w:val="68525FC0"/>
    <w:rsid w:val="001C1727"/>
    <w:rsid w:val="006340A7"/>
    <w:rsid w:val="00652443"/>
    <w:rsid w:val="00875E66"/>
    <w:rsid w:val="00FA080F"/>
    <w:rsid w:val="2A1232CD"/>
    <w:rsid w:val="361F1063"/>
    <w:rsid w:val="4C1959A8"/>
    <w:rsid w:val="5C606400"/>
    <w:rsid w:val="612578F6"/>
    <w:rsid w:val="68525FC0"/>
    <w:rsid w:val="6A8870D1"/>
    <w:rsid w:val="BFFD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4">
    <w:name w:val="Body Text"/>
    <w:basedOn w:val="1"/>
    <w:qFormat/>
    <w:uiPriority w:val="1"/>
    <w:rPr>
      <w:rFonts w:ascii="宋体" w:hAnsi="宋体" w:cs="宋体"/>
      <w:szCs w:val="21"/>
    </w:rPr>
  </w:style>
  <w:style w:type="paragraph" w:customStyle="1" w:styleId="7">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1222</Characters>
  <Lines>10</Lines>
  <Paragraphs>2</Paragraphs>
  <TotalTime>1</TotalTime>
  <ScaleCrop>false</ScaleCrop>
  <LinksUpToDate>false</LinksUpToDate>
  <CharactersWithSpaces>1434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2024-04-26T02:27:00Z</dcterms:created>
  <dc:creator>露露曹</dc:creator>
  <cp:lastModifiedBy>浩</cp:lastModifiedBy>
  <dcterms:modified xsi:type="dcterms:W3CDTF">2024-04-26T02:49:08Z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6F36F451F82346068B3EEF51ABD2A33A_12</vt:lpwstr>
  </property>
</Properties>
</file>