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hint="eastAsia" w:ascii="Times New Roman" w:hAnsi="Times New Roman" w:eastAsia="方正小标宋简体" w:cs="方正小标宋简体"/>
          <w:b w:val="0"/>
          <w:bCs w:val="0"/>
          <w:sz w:val="44"/>
          <w:szCs w:val="44"/>
          <w:lang w:val="en-US"/>
        </w:rPr>
      </w:pPr>
      <w:r>
        <w:rPr>
          <w:rFonts w:hint="eastAsia" w:ascii="Times New Roman" w:hAnsi="Times New Roman" w:eastAsia="方正小标宋简体" w:cs="Times New Roman"/>
          <w:sz w:val="44"/>
          <w:szCs w:val="44"/>
          <w:highlight w:val="none"/>
          <w:lang w:val="en-US" w:eastAsia="zh-CN"/>
        </w:rPr>
        <w:t>湖南省商务厅</w:t>
      </w:r>
      <w:r>
        <w:rPr>
          <w:rFonts w:hint="eastAsia" w:eastAsia="方正小标宋简体" w:cs="Times New Roman"/>
          <w:sz w:val="44"/>
          <w:szCs w:val="44"/>
          <w:highlight w:val="none"/>
          <w:lang w:val="en-US" w:eastAsia="zh-CN"/>
        </w:rPr>
        <w:t>组团</w:t>
      </w:r>
      <w:r>
        <w:rPr>
          <w:rFonts w:hint="eastAsia" w:ascii="Times New Roman" w:hAnsi="Times New Roman" w:eastAsia="方正小标宋简体" w:cs="Times New Roman"/>
          <w:sz w:val="44"/>
          <w:szCs w:val="44"/>
          <w:highlight w:val="none"/>
          <w:lang w:val="en-US" w:eastAsia="zh-CN"/>
        </w:rPr>
        <w:t>赴</w:t>
      </w:r>
      <w:r>
        <w:rPr>
          <w:rFonts w:hint="eastAsia" w:eastAsia="方正小标宋简体" w:cs="Times New Roman"/>
          <w:sz w:val="44"/>
          <w:szCs w:val="44"/>
          <w:highlight w:val="none"/>
          <w:lang w:val="en-US" w:eastAsia="zh-CN"/>
        </w:rPr>
        <w:t>港澳</w:t>
      </w:r>
      <w:r>
        <w:rPr>
          <w:rFonts w:hint="default" w:ascii="Times New Roman" w:hAnsi="Times New Roman" w:eastAsia="方正小标宋简体" w:cs="Times New Roman"/>
          <w:sz w:val="44"/>
          <w:szCs w:val="44"/>
        </w:rPr>
        <w:t>开展投资促进活动</w:t>
      </w:r>
      <w:r>
        <w:rPr>
          <w:rFonts w:hint="eastAsia" w:eastAsia="方正小标宋简体" w:cs="Times New Roman"/>
          <w:sz w:val="44"/>
          <w:szCs w:val="44"/>
          <w:lang w:eastAsia="zh-CN"/>
        </w:rPr>
        <w:t>采购</w:t>
      </w:r>
      <w:r>
        <w:rPr>
          <w:rFonts w:hint="eastAsia" w:ascii="Times New Roman" w:hAnsi="Times New Roman" w:eastAsia="方正小标宋简体" w:cs="Times New Roman"/>
          <w:sz w:val="44"/>
          <w:szCs w:val="44"/>
          <w:lang w:val="en-US" w:eastAsia="zh-CN"/>
        </w:rPr>
        <w:t>项目</w:t>
      </w:r>
      <w:r>
        <w:rPr>
          <w:rFonts w:hint="eastAsia" w:eastAsia="方正小标宋简体" w:cs="Times New Roman"/>
          <w:sz w:val="44"/>
          <w:szCs w:val="44"/>
          <w:lang w:val="en-US" w:eastAsia="zh-CN"/>
        </w:rPr>
        <w:t>磋商文件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leftChars="0" w:right="0"/>
        <w:jc w:val="center"/>
        <w:textAlignment w:val="auto"/>
        <w:rPr>
          <w:b/>
          <w:sz w:val="44"/>
          <w:szCs w:val="44"/>
          <w:lang w:val="en-US"/>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黑体" w:hAnsi="黑体" w:eastAsia="黑体"/>
          <w:sz w:val="32"/>
          <w:szCs w:val="32"/>
          <w:lang w:eastAsia="zh-CN"/>
        </w:rPr>
      </w:pPr>
      <w:r>
        <w:rPr>
          <w:rFonts w:ascii="黑体" w:hAnsi="黑体" w:eastAsia="黑体"/>
          <w:sz w:val="32"/>
          <w:szCs w:val="32"/>
        </w:rPr>
        <w:t>一、项目</w:t>
      </w:r>
      <w:r>
        <w:rPr>
          <w:rFonts w:hint="eastAsia" w:ascii="黑体" w:hAnsi="黑体" w:eastAsia="黑体"/>
          <w:sz w:val="32"/>
          <w:szCs w:val="32"/>
          <w:lang w:eastAsia="zh-CN"/>
        </w:rPr>
        <w:t>信息</w:t>
      </w:r>
    </w:p>
    <w:p>
      <w:pPr>
        <w:keepNext w:val="0"/>
        <w:keepLines w:val="0"/>
        <w:pageBreakBefore w:val="0"/>
        <w:kinsoku/>
        <w:wordWrap/>
        <w:overflowPunct/>
        <w:topLinePunct w:val="0"/>
        <w:autoSpaceDE/>
        <w:autoSpaceDN/>
        <w:bidi w:val="0"/>
        <w:adjustRightInd/>
        <w:snapToGrid/>
        <w:spacing w:line="580" w:lineRule="exact"/>
        <w:ind w:left="2558" w:leftChars="304" w:hanging="1920" w:hangingChars="6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1.项目名称：湖南省商务厅组团赴港澳</w:t>
      </w:r>
      <w:r>
        <w:rPr>
          <w:rFonts w:hint="default" w:ascii="Times New Roman" w:hAnsi="Times New Roman" w:eastAsia="仿宋_GB2312" w:cs="Times New Roman"/>
          <w:color w:val="auto"/>
          <w:sz w:val="32"/>
          <w:szCs w:val="32"/>
          <w:lang w:val="en-US" w:eastAsia="zh-CN"/>
        </w:rPr>
        <w:t>开展投资促进活动</w:t>
      </w:r>
      <w:r>
        <w:rPr>
          <w:rFonts w:hint="eastAsia" w:ascii="Times New Roman" w:hAnsi="Times New Roman" w:eastAsia="仿宋_GB2312" w:cs="Times New Roman"/>
          <w:color w:val="auto"/>
          <w:sz w:val="32"/>
          <w:szCs w:val="32"/>
          <w:lang w:val="en-US" w:eastAsia="zh-CN"/>
        </w:rPr>
        <w:t>采购项目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2.项目预算：5</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6592</w:t>
      </w:r>
      <w:r>
        <w:rPr>
          <w:rFonts w:hint="eastAsia" w:eastAsia="仿宋_GB2312" w:cs="Times New Roman"/>
          <w:color w:val="auto"/>
          <w:sz w:val="32"/>
          <w:szCs w:val="32"/>
          <w:lang w:val="en-US" w:eastAsia="zh-CN"/>
        </w:rPr>
        <w:t>5万</w:t>
      </w:r>
      <w:r>
        <w:rPr>
          <w:rFonts w:hint="eastAsia" w:ascii="Times New Roman" w:hAnsi="Times New Roman" w:eastAsia="仿宋_GB2312" w:cs="Times New Roman"/>
          <w:color w:val="auto"/>
          <w:sz w:val="32"/>
          <w:szCs w:val="32"/>
          <w:lang w:val="en-US" w:eastAsia="zh-CN"/>
        </w:rPr>
        <w:t>元</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3.采购方式：竞争性比选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采购</w:t>
      </w:r>
      <w:r>
        <w:rPr>
          <w:rFonts w:hint="eastAsia" w:ascii="黑体" w:hAnsi="黑体" w:eastAsia="黑体"/>
          <w:sz w:val="32"/>
          <w:szCs w:val="32"/>
          <w:lang w:eastAsia="zh-CN"/>
        </w:rPr>
        <w:t>需求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（一）境外食宿安排</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1.提供香港、澳门两地（</w:t>
      </w:r>
      <w:r>
        <w:rPr>
          <w:rFonts w:hint="default" w:ascii="Times New Roman" w:hAnsi="Times New Roman" w:eastAsia="仿宋_GB2312" w:cs="Times New Roman"/>
          <w:color w:val="auto"/>
          <w:sz w:val="32"/>
          <w:szCs w:val="32"/>
          <w:lang w:val="en-US" w:eastAsia="zh-CN"/>
        </w:rPr>
        <w:t>9月22日至26日</w:t>
      </w:r>
      <w:r>
        <w:rPr>
          <w:rFonts w:hint="eastAsia" w:ascii="Times New Roman" w:hAnsi="Times New Roman" w:eastAsia="仿宋_GB2312" w:cs="Times New Roman"/>
          <w:color w:val="auto"/>
          <w:sz w:val="32"/>
          <w:szCs w:val="32"/>
          <w:lang w:val="en-US" w:eastAsia="zh-CN"/>
        </w:rPr>
        <w:t>）的住宿服务，要求酒店位于交通便利区域，符合因公出国（境）住宿标准。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2.提供每日工作餐，符合公务用餐标准。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（二）交通安排</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提供香港、澳门考察期间的商务用车，确保行程高效、安全。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（三）会务及商务对接支持</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协助联系对接港澳两地拜访单位，确保拜访行程顺利。</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（四）因公签证及手续办理服务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协助出访人员办理港澳通行证及相关手续服务。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i w:val="0"/>
          <w:iCs w:val="0"/>
          <w:caps w:val="0"/>
          <w:color w:val="333333"/>
          <w:spacing w:val="0"/>
          <w:sz w:val="32"/>
          <w:szCs w:val="32"/>
        </w:rPr>
      </w:pPr>
      <w:bookmarkStart w:id="0" w:name="_GoBack"/>
      <w:bookmarkEnd w:id="0"/>
      <w:r>
        <w:rPr>
          <w:rFonts w:hint="eastAsia" w:ascii="黑体" w:hAnsi="黑体" w:eastAsia="黑体" w:cs="黑体"/>
          <w:i w:val="0"/>
          <w:iCs w:val="0"/>
          <w:caps w:val="0"/>
          <w:color w:val="333333"/>
          <w:spacing w:val="0"/>
          <w:sz w:val="32"/>
          <w:szCs w:val="32"/>
          <w:lang w:eastAsia="zh-CN"/>
        </w:rPr>
        <w:t>三、</w:t>
      </w:r>
      <w:r>
        <w:rPr>
          <w:rFonts w:hint="eastAsia" w:ascii="黑体" w:hAnsi="黑体" w:eastAsia="黑体" w:cs="黑体"/>
          <w:i w:val="0"/>
          <w:iCs w:val="0"/>
          <w:caps w:val="0"/>
          <w:color w:val="333333"/>
          <w:spacing w:val="0"/>
          <w:sz w:val="32"/>
          <w:szCs w:val="32"/>
        </w:rPr>
        <w:t>供应商应具备的资格条件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（一）基本条件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1.提交企业法人营业执照副本以及组织机构代码证副本复印件（加盖公章）；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2.依法缴纳税收和社会保险费的证明材料（加盖公章）;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3.法人提交法定代表人身份证明原件或者法定代表人授权委托书原件并附法定代表人身份证明原件（加盖公章）；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4.参加本次政府采购活动前三年内，在经营活动中没有重大违法记录（公司成立不足三年的从成立之日起算；承诺函加盖公章）；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本项目不接受联合体参加。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四、其他要求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1.服务期限：签订合同后按照本活动需求及采购人要求开始履行服务至所有活动完成。</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2.付款方式：服务项目结束后开具国家税务机关认可的增值税发票，办理付款。</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3.其他未尽事宜在签订合同时商定。</w:t>
      </w:r>
    </w:p>
    <w:p>
      <w:pPr>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五、评选办法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w:t>
      </w:r>
      <w:r>
        <w:rPr>
          <w:rFonts w:hint="eastAsia" w:ascii="Times New Roman" w:hAnsi="Times New Roman" w:eastAsia="仿宋_GB2312" w:cs="Times New Roman"/>
          <w:color w:val="auto"/>
          <w:sz w:val="32"/>
          <w:szCs w:val="32"/>
          <w:lang w:val="en-US" w:eastAsia="zh-CN"/>
        </w:rPr>
        <w:t>公告邀请</w:t>
      </w:r>
      <w:r>
        <w:rPr>
          <w:rFonts w:hint="default" w:ascii="Times New Roman" w:hAnsi="Times New Roman" w:eastAsia="仿宋_GB2312" w:cs="Times New Roman"/>
          <w:color w:val="auto"/>
          <w:sz w:val="32"/>
          <w:szCs w:val="32"/>
          <w:lang w:val="en-US" w:eastAsia="zh-CN"/>
        </w:rPr>
        <w:t>不少于三家</w:t>
      </w:r>
      <w:r>
        <w:rPr>
          <w:rFonts w:hint="eastAsia" w:ascii="Times New Roman" w:hAnsi="Times New Roman" w:eastAsia="仿宋_GB2312" w:cs="Times New Roman"/>
          <w:color w:val="auto"/>
          <w:sz w:val="32"/>
          <w:szCs w:val="32"/>
          <w:lang w:val="en-US" w:eastAsia="zh-CN"/>
        </w:rPr>
        <w:t>符合要求的</w:t>
      </w:r>
      <w:r>
        <w:rPr>
          <w:rFonts w:hint="default" w:ascii="Times New Roman" w:hAnsi="Times New Roman" w:eastAsia="仿宋_GB2312" w:cs="Times New Roman"/>
          <w:color w:val="auto"/>
          <w:sz w:val="32"/>
          <w:szCs w:val="32"/>
          <w:lang w:val="en-US" w:eastAsia="zh-CN"/>
        </w:rPr>
        <w:t>供应商，由评选小组组织评选，</w:t>
      </w:r>
      <w:r>
        <w:rPr>
          <w:rFonts w:hint="eastAsia" w:ascii="Times New Roman" w:hAnsi="Times New Roman" w:eastAsia="仿宋_GB2312" w:cs="Times New Roman"/>
          <w:color w:val="auto"/>
          <w:sz w:val="32"/>
          <w:szCs w:val="32"/>
          <w:lang w:val="en-US" w:eastAsia="zh-CN"/>
        </w:rPr>
        <w:t>根据评审因素综合得分</w:t>
      </w:r>
      <w:r>
        <w:rPr>
          <w:rFonts w:hint="default" w:ascii="Times New Roman" w:hAnsi="Times New Roman" w:eastAsia="仿宋_GB2312" w:cs="Times New Roman"/>
          <w:color w:val="auto"/>
          <w:sz w:val="32"/>
          <w:szCs w:val="32"/>
          <w:lang w:val="en-US" w:eastAsia="zh-CN"/>
        </w:rPr>
        <w:t>高者</w:t>
      </w:r>
      <w:r>
        <w:rPr>
          <w:rFonts w:hint="eastAsia" w:ascii="Times New Roman" w:hAnsi="Times New Roman" w:eastAsia="仿宋_GB2312" w:cs="Times New Roman"/>
          <w:color w:val="auto"/>
          <w:sz w:val="32"/>
          <w:szCs w:val="32"/>
          <w:lang w:val="en-US" w:eastAsia="zh-CN"/>
        </w:rPr>
        <w:t>确定供应商</w:t>
      </w:r>
      <w:r>
        <w:rPr>
          <w:rFonts w:hint="default" w:ascii="Times New Roman" w:hAnsi="Times New Roman" w:eastAsia="仿宋_GB2312" w:cs="Times New Roman"/>
          <w:color w:val="auto"/>
          <w:sz w:val="32"/>
          <w:szCs w:val="32"/>
          <w:lang w:val="en-US" w:eastAsia="zh-CN"/>
        </w:rPr>
        <w:t>中标。</w:t>
      </w:r>
    </w:p>
    <w:p>
      <w:pPr>
        <w:keepNext w:val="0"/>
        <w:keepLines w:val="0"/>
        <w:pageBreakBefore w:val="0"/>
        <w:widowControl/>
        <w:suppressLineNumbers w:val="0"/>
        <w:kinsoku/>
        <w:wordWrap/>
        <w:overflowPunct/>
        <w:topLinePunct w:val="0"/>
        <w:autoSpaceDE/>
        <w:autoSpaceDN/>
        <w:bidi w:val="0"/>
        <w:spacing w:line="580" w:lineRule="exact"/>
        <w:ind w:left="0" w:leftChars="0" w:firstLine="640" w:firstLineChars="200"/>
        <w:jc w:val="left"/>
        <w:textAlignment w:val="auto"/>
        <w:rPr>
          <w:rFonts w:hint="eastAsia" w:ascii="Times New Roman" w:hAnsi="Times New Roman" w:eastAsia="黑体" w:cs="Times New Roman"/>
          <w:bCs/>
          <w:color w:val="auto"/>
          <w:sz w:val="32"/>
          <w:szCs w:val="22"/>
          <w:lang w:eastAsia="zh-CN"/>
        </w:rPr>
      </w:pPr>
      <w:r>
        <w:rPr>
          <w:rFonts w:hint="eastAsia" w:ascii="Times New Roman" w:hAnsi="Times New Roman" w:eastAsia="黑体" w:cs="Times New Roman"/>
          <w:bCs/>
          <w:color w:val="auto"/>
          <w:sz w:val="32"/>
          <w:szCs w:val="22"/>
          <w:lang w:eastAsia="zh-CN"/>
        </w:rPr>
        <w:t>六</w:t>
      </w:r>
      <w:r>
        <w:rPr>
          <w:rFonts w:hint="default" w:ascii="Times New Roman" w:hAnsi="Times New Roman" w:eastAsia="黑体" w:cs="Times New Roman"/>
          <w:bCs/>
          <w:color w:val="auto"/>
          <w:sz w:val="32"/>
          <w:szCs w:val="22"/>
        </w:rPr>
        <w:t>、</w:t>
      </w:r>
      <w:r>
        <w:rPr>
          <w:rFonts w:hint="eastAsia" w:eastAsia="黑体" w:cs="Times New Roman"/>
          <w:bCs/>
          <w:color w:val="auto"/>
          <w:sz w:val="32"/>
          <w:szCs w:val="22"/>
          <w:lang w:eastAsia="zh-CN"/>
        </w:rPr>
        <w:t>获取磋商文件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楷体_GB2312" w:cs="Times New Roman"/>
          <w:color w:val="auto"/>
          <w:sz w:val="32"/>
          <w:szCs w:val="22"/>
          <w:lang w:val="en-US" w:eastAsia="zh-CN"/>
        </w:rPr>
        <w:t>1</w:t>
      </w:r>
      <w:r>
        <w:rPr>
          <w:rFonts w:hint="eastAsia" w:ascii="Times New Roman" w:hAnsi="Times New Roman" w:eastAsia="仿宋_GB2312" w:cs="Times New Roman"/>
          <w:color w:val="auto"/>
          <w:sz w:val="32"/>
          <w:szCs w:val="32"/>
          <w:lang w:val="en-US" w:eastAsia="zh-CN"/>
        </w:rPr>
        <w:t>.凡有意参加磋商采购活动的</w:t>
      </w:r>
      <w:r>
        <w:rPr>
          <w:rFonts w:hint="eastAsia" w:eastAsia="仿宋_GB2312" w:cs="Times New Roman"/>
          <w:color w:val="auto"/>
          <w:sz w:val="32"/>
          <w:szCs w:val="32"/>
          <w:lang w:val="en-US" w:eastAsia="zh-CN"/>
        </w:rPr>
        <w:t>供应商</w:t>
      </w:r>
      <w:r>
        <w:rPr>
          <w:rFonts w:hint="eastAsia" w:ascii="Times New Roman" w:hAnsi="Times New Roman" w:eastAsia="仿宋_GB2312" w:cs="Times New Roman"/>
          <w:color w:val="auto"/>
          <w:sz w:val="32"/>
          <w:szCs w:val="32"/>
          <w:lang w:val="en-US" w:eastAsia="zh-CN"/>
        </w:rPr>
        <w:t>请前往省商务厅报名并领取磋商文件（评分标准见附件）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2.报名时间</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日</w:t>
      </w:r>
      <w:r>
        <w:rPr>
          <w:rFonts w:hint="eastAsia" w:eastAsia="仿宋_GB2312" w:cs="Times New Roman"/>
          <w:color w:val="auto"/>
          <w:sz w:val="32"/>
          <w:szCs w:val="32"/>
          <w:lang w:val="en-US" w:eastAsia="zh-CN"/>
        </w:rPr>
        <w:t>，每日上午9:00至11:30，下午15:00-17:00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地点：湖南省长沙市芙蓉区五一大道98号省商务厅一号楼</w:t>
      </w:r>
      <w:r>
        <w:rPr>
          <w:rFonts w:hint="eastAsia" w:ascii="Times New Roman" w:hAnsi="Times New Roman" w:eastAsia="仿宋_GB2312" w:cs="Times New Roman"/>
          <w:color w:val="auto"/>
          <w:sz w:val="32"/>
          <w:szCs w:val="32"/>
          <w:lang w:val="en-US" w:eastAsia="zh-CN"/>
        </w:rPr>
        <w:t>1307</w:t>
      </w:r>
      <w:r>
        <w:rPr>
          <w:rFonts w:hint="default" w:ascii="Times New Roman" w:hAnsi="Times New Roman" w:eastAsia="仿宋_GB2312" w:cs="Times New Roman"/>
          <w:color w:val="auto"/>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eastAsia="黑体" w:cs="Times New Roman"/>
          <w:bCs/>
          <w:color w:val="auto"/>
          <w:sz w:val="32"/>
          <w:szCs w:val="22"/>
          <w:lang w:eastAsia="zh-CN"/>
        </w:rPr>
      </w:pPr>
      <w:r>
        <w:rPr>
          <w:rFonts w:hint="eastAsia" w:eastAsia="黑体" w:cs="Times New Roman"/>
          <w:bCs/>
          <w:color w:val="auto"/>
          <w:sz w:val="32"/>
          <w:szCs w:val="22"/>
          <w:lang w:eastAsia="zh-CN"/>
        </w:rPr>
        <w:t>七、响应文件提交的截止时间、开启时间及地点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1.提交响应文件的截止时间：</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日</w:t>
      </w:r>
      <w:r>
        <w:rPr>
          <w:rFonts w:hint="eastAsia" w:eastAsia="仿宋_GB2312" w:cs="Times New Roman"/>
          <w:color w:val="auto"/>
          <w:sz w:val="32"/>
          <w:szCs w:val="32"/>
          <w:lang w:val="en-US" w:eastAsia="zh-CN"/>
        </w:rPr>
        <w:t>11:00时（北京时间），地点：</w:t>
      </w:r>
      <w:r>
        <w:rPr>
          <w:rFonts w:hint="default" w:ascii="Times New Roman" w:hAnsi="Times New Roman" w:eastAsia="仿宋_GB2312" w:cs="Times New Roman"/>
          <w:color w:val="auto"/>
          <w:sz w:val="32"/>
          <w:szCs w:val="32"/>
          <w:lang w:val="en-US" w:eastAsia="zh-CN"/>
        </w:rPr>
        <w:t>湖南省长沙市芙蓉区五一大道98号省商务厅一号楼</w:t>
      </w:r>
      <w:r>
        <w:rPr>
          <w:rFonts w:hint="eastAsia" w:ascii="Times New Roman" w:hAnsi="Times New Roman" w:eastAsia="仿宋_GB2312" w:cs="Times New Roman"/>
          <w:color w:val="auto"/>
          <w:sz w:val="32"/>
          <w:szCs w:val="32"/>
          <w:lang w:val="en-US" w:eastAsia="zh-CN"/>
        </w:rPr>
        <w:t>1307</w:t>
      </w:r>
      <w:r>
        <w:rPr>
          <w:rFonts w:hint="default" w:ascii="Times New Roman" w:hAnsi="Times New Roman" w:eastAsia="仿宋_GB2312" w:cs="Times New Roman"/>
          <w:color w:val="auto"/>
          <w:sz w:val="32"/>
          <w:szCs w:val="32"/>
          <w:lang w:val="en-US" w:eastAsia="zh-CN"/>
        </w:rPr>
        <w:t>室</w:t>
      </w:r>
      <w:r>
        <w:rPr>
          <w:rFonts w:hint="eastAsia" w:eastAsia="仿宋_GB2312" w:cs="Times New Roman"/>
          <w:color w:val="auto"/>
          <w:sz w:val="32"/>
          <w:szCs w:val="32"/>
          <w:lang w:val="en-US" w:eastAsia="zh-CN"/>
        </w:rPr>
        <w:t>。在截止时间后送达的响应文件为无效文件。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2.响应文件的开启时间</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日</w:t>
      </w:r>
      <w:r>
        <w:rPr>
          <w:rFonts w:hint="eastAsia" w:eastAsia="仿宋_GB2312" w:cs="Times New Roman"/>
          <w:color w:val="auto"/>
          <w:sz w:val="32"/>
          <w:szCs w:val="32"/>
          <w:lang w:val="en-US" w:eastAsia="zh-CN"/>
        </w:rPr>
        <w:t>15:30时（北京时间），地点：</w:t>
      </w:r>
      <w:r>
        <w:rPr>
          <w:rFonts w:hint="default" w:ascii="Times New Roman" w:hAnsi="Times New Roman" w:eastAsia="仿宋_GB2312" w:cs="Times New Roman"/>
          <w:color w:val="auto"/>
          <w:sz w:val="32"/>
          <w:szCs w:val="32"/>
          <w:lang w:val="en-US" w:eastAsia="zh-CN"/>
        </w:rPr>
        <w:t>湖南省长沙市芙蓉区五一大道98号省商</w:t>
      </w:r>
      <w:r>
        <w:rPr>
          <w:rFonts w:hint="default" w:eastAsia="仿宋_GB2312" w:cs="Times New Roman"/>
          <w:color w:val="auto"/>
          <w:sz w:val="32"/>
          <w:szCs w:val="32"/>
          <w:lang w:val="en-US" w:eastAsia="zh-CN"/>
        </w:rPr>
        <w:t>务厅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3.响应文件一式两份，正副本各1份。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Cs/>
          <w:color w:val="auto"/>
          <w:sz w:val="32"/>
          <w:szCs w:val="22"/>
        </w:rPr>
      </w:pPr>
      <w:r>
        <w:rPr>
          <w:rFonts w:hint="eastAsia" w:eastAsia="黑体" w:cs="Times New Roman"/>
          <w:bCs/>
          <w:color w:val="auto"/>
          <w:sz w:val="32"/>
          <w:szCs w:val="22"/>
          <w:lang w:eastAsia="zh-CN"/>
        </w:rPr>
        <w:t>八、</w:t>
      </w:r>
      <w:r>
        <w:rPr>
          <w:rFonts w:hint="eastAsia" w:ascii="Times New Roman" w:hAnsi="Times New Roman" w:eastAsia="黑体" w:cs="Times New Roman"/>
          <w:bCs/>
          <w:color w:val="auto"/>
          <w:sz w:val="32"/>
          <w:szCs w:val="22"/>
          <w:lang w:eastAsia="zh-CN"/>
        </w:rPr>
        <w:t>采购项目</w:t>
      </w:r>
      <w:r>
        <w:rPr>
          <w:rFonts w:hint="default" w:ascii="Times New Roman" w:hAnsi="Times New Roman" w:eastAsia="黑体" w:cs="Times New Roman"/>
          <w:bCs/>
          <w:color w:val="auto"/>
          <w:sz w:val="32"/>
          <w:szCs w:val="22"/>
        </w:rPr>
        <w:t>联系</w:t>
      </w:r>
      <w:r>
        <w:rPr>
          <w:rFonts w:hint="eastAsia" w:ascii="Times New Roman" w:hAnsi="Times New Roman" w:eastAsia="黑体" w:cs="Times New Roman"/>
          <w:bCs/>
          <w:color w:val="auto"/>
          <w:sz w:val="32"/>
          <w:szCs w:val="22"/>
          <w:lang w:eastAsia="zh-CN"/>
        </w:rPr>
        <w:t>人及联系方式</w:t>
      </w:r>
      <w:r>
        <w:rPr>
          <w:rFonts w:hint="default" w:ascii="Times New Roman" w:hAnsi="Times New Roman" w:eastAsia="黑体" w:cs="Times New Roman"/>
          <w:bCs/>
          <w:color w:val="auto"/>
          <w:sz w:val="32"/>
          <w:szCs w:val="2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采购人：湖南省商务厅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地</w:t>
      </w:r>
      <w:r>
        <w:rPr>
          <w:rFonts w:hint="eastAsia" w:eastAsia="仿宋_GB2312" w:cs="Times New Roman"/>
          <w:color w:val="auto"/>
          <w:sz w:val="32"/>
          <w:szCs w:val="22"/>
          <w:lang w:val="en-US" w:eastAsia="zh-CN"/>
        </w:rPr>
        <w:t xml:space="preserve">  </w:t>
      </w:r>
      <w:r>
        <w:rPr>
          <w:rFonts w:hint="default" w:ascii="Times New Roman" w:hAnsi="Times New Roman" w:eastAsia="仿宋_GB2312" w:cs="Times New Roman"/>
          <w:color w:val="auto"/>
          <w:sz w:val="32"/>
          <w:szCs w:val="22"/>
        </w:rPr>
        <w:t>址：长沙市芙蓉区五一大道98号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22"/>
          <w:highlight w:val="none"/>
        </w:rPr>
        <w:t>联系人及联系方式：</w:t>
      </w:r>
      <w:r>
        <w:rPr>
          <w:rFonts w:hint="eastAsia" w:ascii="Times New Roman" w:hAnsi="Times New Roman" w:eastAsia="仿宋_GB2312" w:cs="Times New Roman"/>
          <w:color w:val="auto"/>
          <w:sz w:val="32"/>
          <w:szCs w:val="22"/>
          <w:highlight w:val="none"/>
          <w:lang w:val="en-US" w:eastAsia="zh-CN"/>
        </w:rPr>
        <w:t>吴</w:t>
      </w:r>
      <w:r>
        <w:rPr>
          <w:rFonts w:hint="default" w:ascii="Times New Roman" w:hAnsi="Times New Roman" w:eastAsia="仿宋_GB2312" w:cs="Times New Roman"/>
          <w:color w:val="auto"/>
          <w:sz w:val="32"/>
          <w:szCs w:val="32"/>
          <w:lang w:val="en-US" w:eastAsia="zh-CN"/>
        </w:rPr>
        <w:t>女士，</w:t>
      </w:r>
      <w:r>
        <w:rPr>
          <w:rFonts w:hint="eastAsia" w:ascii="Times New Roman" w:hAnsi="Times New Roman" w:eastAsia="仿宋_GB2312" w:cs="Times New Roman"/>
          <w:color w:val="auto"/>
          <w:sz w:val="32"/>
          <w:szCs w:val="32"/>
          <w:lang w:val="en-US" w:eastAsia="zh-CN"/>
        </w:rPr>
        <w:t>0731-82289502</w:t>
      </w:r>
    </w:p>
    <w:p>
      <w:pPr>
        <w:keepNext w:val="0"/>
        <w:keepLines w:val="0"/>
        <w:pageBreakBefore w:val="0"/>
        <w:kinsoku/>
        <w:wordWrap/>
        <w:overflowPunct/>
        <w:topLinePunct w:val="0"/>
        <w:autoSpaceDE/>
        <w:autoSpaceDN/>
        <w:bidi w:val="0"/>
        <w:spacing w:line="580" w:lineRule="exact"/>
        <w:ind w:left="0" w:leftChars="0"/>
        <w:textAlignment w:val="auto"/>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br w:type="page"/>
      </w:r>
    </w:p>
    <w:p>
      <w:pPr>
        <w:keepNext/>
        <w:keepLines/>
        <w:widowControl w:val="0"/>
        <w:spacing w:before="340" w:after="330" w:line="460" w:lineRule="exact"/>
        <w:jc w:val="left"/>
        <w:outlineLvl w:val="0"/>
        <w:rPr>
          <w:rFonts w:hint="eastAsia" w:ascii="黑体" w:hAnsi="黑体" w:eastAsia="黑体" w:cs="黑体"/>
          <w:kern w:val="44"/>
          <w:sz w:val="32"/>
          <w:szCs w:val="32"/>
          <w:lang w:val="en-US" w:eastAsia="zh-CN"/>
        </w:rPr>
      </w:pPr>
      <w:r>
        <w:rPr>
          <w:rFonts w:hint="eastAsia" w:ascii="黑体" w:hAnsi="黑体" w:eastAsia="黑体" w:cs="黑体"/>
          <w:kern w:val="44"/>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方正小标宋简体" w:hAnsi="方正小标宋简体" w:eastAsia="方正小标宋简体" w:cs="方正小标宋简体"/>
          <w:b w:val="0"/>
          <w:bCs w:val="0"/>
          <w:sz w:val="32"/>
          <w:szCs w:val="32"/>
          <w:lang w:eastAsia="zh-CN"/>
        </w:rPr>
        <w:t>评审因素和标准</w:t>
      </w:r>
    </w:p>
    <w:p>
      <w:pPr>
        <w:rPr>
          <w:rFonts w:hint="default" w:ascii="Times New Roman" w:eastAsia="仿宋_GB2312"/>
          <w:sz w:val="32"/>
          <w:szCs w:val="32"/>
        </w:rPr>
      </w:pPr>
    </w:p>
    <w:tbl>
      <w:tblPr>
        <w:tblStyle w:val="6"/>
        <w:tblpPr w:leftFromText="180" w:rightFromText="180" w:vertAnchor="text" w:horzAnchor="page" w:tblpX="1416" w:tblpY="51"/>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074"/>
        <w:gridCol w:w="846"/>
        <w:gridCol w:w="62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179" w:type="dxa"/>
            <w:tcBorders>
              <w:tl2br w:val="nil"/>
              <w:tr2bl w:val="nil"/>
            </w:tcBorders>
            <w:noWrap w:val="0"/>
            <w:vAlign w:val="center"/>
          </w:tcPr>
          <w:p>
            <w:pPr>
              <w:jc w:val="center"/>
              <w:rPr>
                <w:rFonts w:hint="default" w:ascii="Times New Roman" w:eastAsia="黑体" w:cs="Times New Roman"/>
                <w:b/>
                <w:bCs/>
                <w:szCs w:val="21"/>
              </w:rPr>
            </w:pPr>
            <w:r>
              <w:rPr>
                <w:rFonts w:hint="default" w:ascii="Times New Roman" w:eastAsia="黑体" w:cs="Times New Roman"/>
                <w:b/>
                <w:bCs/>
                <w:szCs w:val="21"/>
              </w:rPr>
              <w:t>评审类别</w:t>
            </w:r>
          </w:p>
        </w:tc>
        <w:tc>
          <w:tcPr>
            <w:tcW w:w="1074" w:type="dxa"/>
            <w:tcBorders>
              <w:tl2br w:val="nil"/>
              <w:tr2bl w:val="nil"/>
            </w:tcBorders>
            <w:noWrap w:val="0"/>
            <w:vAlign w:val="center"/>
          </w:tcPr>
          <w:p>
            <w:pPr>
              <w:jc w:val="center"/>
              <w:rPr>
                <w:rFonts w:hint="default" w:ascii="Times New Roman" w:eastAsia="黑体" w:cs="Times New Roman"/>
                <w:b/>
                <w:bCs/>
                <w:szCs w:val="21"/>
              </w:rPr>
            </w:pPr>
            <w:r>
              <w:rPr>
                <w:rFonts w:hint="default" w:ascii="Times New Roman" w:eastAsia="黑体" w:cs="Times New Roman"/>
                <w:b/>
                <w:bCs/>
                <w:szCs w:val="21"/>
              </w:rPr>
              <w:t>评审因素</w:t>
            </w:r>
          </w:p>
        </w:tc>
        <w:tc>
          <w:tcPr>
            <w:tcW w:w="846" w:type="dxa"/>
            <w:tcBorders>
              <w:tl2br w:val="nil"/>
              <w:tr2bl w:val="nil"/>
            </w:tcBorders>
            <w:noWrap w:val="0"/>
            <w:vAlign w:val="center"/>
          </w:tcPr>
          <w:p>
            <w:pPr>
              <w:jc w:val="center"/>
              <w:rPr>
                <w:rFonts w:hint="default" w:ascii="Times New Roman" w:eastAsia="黑体" w:cs="Times New Roman"/>
                <w:b/>
                <w:bCs/>
                <w:szCs w:val="21"/>
              </w:rPr>
            </w:pPr>
            <w:r>
              <w:rPr>
                <w:rFonts w:hint="default" w:ascii="Times New Roman" w:eastAsia="黑体" w:cs="Times New Roman"/>
                <w:b/>
                <w:bCs/>
                <w:szCs w:val="21"/>
              </w:rPr>
              <w:t>分值</w:t>
            </w:r>
          </w:p>
        </w:tc>
        <w:tc>
          <w:tcPr>
            <w:tcW w:w="6279" w:type="dxa"/>
            <w:tcBorders>
              <w:tl2br w:val="nil"/>
              <w:tr2bl w:val="nil"/>
            </w:tcBorders>
            <w:noWrap w:val="0"/>
            <w:vAlign w:val="center"/>
          </w:tcPr>
          <w:p>
            <w:pPr>
              <w:jc w:val="center"/>
              <w:rPr>
                <w:rFonts w:hint="default" w:ascii="Times New Roman" w:eastAsia="黑体" w:cs="Times New Roman"/>
                <w:b/>
                <w:bCs/>
                <w:szCs w:val="21"/>
              </w:rPr>
            </w:pPr>
            <w:r>
              <w:rPr>
                <w:rFonts w:hint="default" w:ascii="Times New Roman" w:eastAsia="黑体" w:cs="Times New Roman"/>
                <w:b/>
                <w:bCs/>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79" w:type="dxa"/>
            <w:vMerge w:val="restart"/>
            <w:tcBorders>
              <w:tl2br w:val="nil"/>
              <w:tr2bl w:val="nil"/>
            </w:tcBorders>
            <w:noWrap w:val="0"/>
            <w:vAlign w:val="center"/>
          </w:tcPr>
          <w:p>
            <w:pPr>
              <w:adjustRightInd w:val="0"/>
              <w:snapToGrid w:val="0"/>
              <w:spacing w:before="156" w:beforeLines="50"/>
              <w:jc w:val="center"/>
              <w:rPr>
                <w:rFonts w:ascii="Times New Roman" w:hAnsi="Times New Roman" w:eastAsia="仿宋_GB2312"/>
                <w:b/>
                <w:bCs/>
                <w:szCs w:val="21"/>
              </w:rPr>
            </w:pPr>
            <w:r>
              <w:rPr>
                <w:rFonts w:ascii="Times New Roman" w:hAnsi="Times New Roman" w:eastAsia="仿宋_GB2312"/>
                <w:b/>
                <w:bCs/>
                <w:szCs w:val="21"/>
              </w:rPr>
              <w:t>商务部分（25分）</w:t>
            </w:r>
          </w:p>
        </w:tc>
        <w:tc>
          <w:tcPr>
            <w:tcW w:w="1074" w:type="dxa"/>
            <w:tcBorders>
              <w:tl2br w:val="nil"/>
              <w:tr2bl w:val="nil"/>
            </w:tcBorders>
            <w:noWrap w:val="0"/>
            <w:vAlign w:val="center"/>
          </w:tcPr>
          <w:p>
            <w:pPr>
              <w:snapToGrid w:val="0"/>
              <w:jc w:val="center"/>
              <w:textAlignment w:val="baseline"/>
              <w:rPr>
                <w:rFonts w:ascii="Times New Roman" w:hAnsi="Times New Roman" w:eastAsia="仿宋_GB2312"/>
                <w:szCs w:val="21"/>
              </w:rPr>
            </w:pPr>
            <w:r>
              <w:rPr>
                <w:rFonts w:ascii="Times New Roman" w:hAnsi="Times New Roman" w:eastAsia="仿宋_GB2312"/>
                <w:szCs w:val="21"/>
              </w:rPr>
              <w:t>业绩</w:t>
            </w:r>
          </w:p>
        </w:tc>
        <w:tc>
          <w:tcPr>
            <w:tcW w:w="846" w:type="dxa"/>
            <w:tcBorders>
              <w:tl2br w:val="nil"/>
              <w:tr2bl w:val="nil"/>
            </w:tcBorders>
            <w:noWrap w:val="0"/>
            <w:vAlign w:val="center"/>
          </w:tcPr>
          <w:p>
            <w:pPr>
              <w:snapToGrid w:val="0"/>
              <w:jc w:val="center"/>
              <w:textAlignment w:val="baseline"/>
              <w:rPr>
                <w:rFonts w:ascii="Times New Roman" w:hAnsi="Times New Roman" w:eastAsia="仿宋_GB2312"/>
              </w:rPr>
            </w:pPr>
            <w:r>
              <w:rPr>
                <w:rFonts w:ascii="Times New Roman" w:hAnsi="Times New Roman" w:eastAsia="仿宋_GB2312"/>
                <w:szCs w:val="21"/>
              </w:rPr>
              <w:t>15分</w:t>
            </w:r>
          </w:p>
        </w:tc>
        <w:tc>
          <w:tcPr>
            <w:tcW w:w="6279" w:type="dxa"/>
            <w:tcBorders>
              <w:tl2br w:val="nil"/>
              <w:tr2bl w:val="nil"/>
            </w:tcBorders>
            <w:noWrap w:val="0"/>
            <w:vAlign w:val="center"/>
          </w:tcPr>
          <w:p>
            <w:pPr>
              <w:snapToGrid w:val="0"/>
              <w:textAlignment w:val="baseline"/>
              <w:rPr>
                <w:rFonts w:ascii="Times New Roman" w:hAnsi="Times New Roman" w:eastAsia="仿宋_GB2312"/>
                <w:szCs w:val="21"/>
              </w:rPr>
            </w:pPr>
            <w:r>
              <w:rPr>
                <w:rFonts w:ascii="Times New Roman" w:hAnsi="Times New Roman" w:eastAsia="仿宋_GB2312"/>
                <w:szCs w:val="21"/>
              </w:rPr>
              <w:t>投标单位有类似活动经验，</w:t>
            </w:r>
            <w:r>
              <w:rPr>
                <w:rFonts w:ascii="Times New Roman" w:hAnsi="Times New Roman" w:eastAsia="仿宋_GB2312" w:cs="Times New Roman"/>
                <w:szCs w:val="21"/>
              </w:rPr>
              <w:t>类似活动指境外会展、商务考察或国际交流活动</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每</w:t>
            </w:r>
            <w:r>
              <w:rPr>
                <w:rFonts w:ascii="Times New Roman" w:hAnsi="Times New Roman" w:eastAsia="仿宋_GB2312"/>
                <w:szCs w:val="21"/>
              </w:rPr>
              <w:t>提供1个得5分，最多不超过15分（提供相应的业绩合同复印件</w:t>
            </w:r>
            <w:r>
              <w:rPr>
                <w:rFonts w:hint="eastAsia" w:ascii="Times New Roman" w:hAnsi="Times New Roman" w:eastAsia="仿宋_GB2312"/>
                <w:szCs w:val="21"/>
                <w:lang w:val="en-US" w:eastAsia="zh-CN"/>
              </w:rPr>
              <w:t>或中标公告）</w:t>
            </w:r>
            <w:r>
              <w:rPr>
                <w:rFonts w:ascii="Times New Roman" w:hAnsi="Times New Roman" w:eastAsia="仿宋_GB2312"/>
                <w:szCs w:val="21"/>
              </w:rPr>
              <w:t>，否则不计分。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79" w:type="dxa"/>
            <w:vMerge w:val="continue"/>
            <w:tcBorders>
              <w:tl2br w:val="nil"/>
              <w:tr2bl w:val="nil"/>
            </w:tcBorders>
            <w:noWrap w:val="0"/>
            <w:vAlign w:val="center"/>
          </w:tcPr>
          <w:p/>
        </w:tc>
        <w:tc>
          <w:tcPr>
            <w:tcW w:w="1074" w:type="dxa"/>
            <w:tcBorders>
              <w:tl2br w:val="nil"/>
              <w:tr2bl w:val="nil"/>
            </w:tcBorders>
            <w:noWrap w:val="0"/>
            <w:vAlign w:val="center"/>
          </w:tcPr>
          <w:p>
            <w:pPr>
              <w:pStyle w:val="8"/>
              <w:jc w:val="center"/>
              <w:rPr>
                <w:rFonts w:ascii="Times New Roman" w:hAnsi="Times New Roman" w:eastAsia="仿宋_GB2312"/>
                <w:szCs w:val="21"/>
              </w:rPr>
            </w:pPr>
            <w:r>
              <w:rPr>
                <w:rFonts w:ascii="Times New Roman" w:hAnsi="Times New Roman" w:eastAsia="仿宋_GB2312"/>
                <w:sz w:val="21"/>
              </w:rPr>
              <w:t>服务团队</w:t>
            </w:r>
          </w:p>
        </w:tc>
        <w:tc>
          <w:tcPr>
            <w:tcW w:w="846" w:type="dxa"/>
            <w:tcBorders>
              <w:tl2br w:val="nil"/>
              <w:tr2bl w:val="nil"/>
            </w:tcBorders>
            <w:noWrap w:val="0"/>
            <w:vAlign w:val="center"/>
          </w:tcPr>
          <w:p>
            <w:pPr>
              <w:pStyle w:val="8"/>
              <w:jc w:val="center"/>
              <w:rPr>
                <w:rFonts w:ascii="Times New Roman" w:hAnsi="Times New Roman" w:eastAsia="仿宋_GB2312"/>
              </w:rPr>
            </w:pPr>
            <w:r>
              <w:rPr>
                <w:rFonts w:ascii="Times New Roman" w:hAnsi="Times New Roman" w:eastAsia="仿宋_GB2312"/>
                <w:sz w:val="21"/>
              </w:rPr>
              <w:t>10分</w:t>
            </w:r>
          </w:p>
        </w:tc>
        <w:tc>
          <w:tcPr>
            <w:tcW w:w="6279" w:type="dxa"/>
            <w:tcBorders>
              <w:tl2br w:val="nil"/>
              <w:tr2bl w:val="nil"/>
            </w:tcBorders>
            <w:noWrap w:val="0"/>
            <w:vAlign w:val="center"/>
          </w:tcPr>
          <w:p>
            <w:pPr>
              <w:snapToGrid w:val="0"/>
              <w:textAlignment w:val="baseline"/>
              <w:rPr>
                <w:rFonts w:hint="eastAsia" w:ascii="Times New Roman" w:hAnsi="Times New Roman" w:eastAsia="仿宋_GB2312"/>
                <w:szCs w:val="21"/>
                <w:lang w:eastAsia="zh-CN"/>
              </w:rPr>
            </w:pPr>
            <w:r>
              <w:rPr>
                <w:rFonts w:ascii="Times New Roman" w:hAnsi="Times New Roman" w:eastAsia="仿宋_GB2312"/>
                <w:szCs w:val="21"/>
              </w:rPr>
              <w:t>拟投入熟悉各项出境流程、具备丰富会展及境外服务经验或语言能力的工作人员数量，每1名计5分，最多计10分（提供身份证、资格证书，成员名单需注明姓名、岗位、专业能力描述</w:t>
            </w:r>
            <w:r>
              <w:rPr>
                <w:rFonts w:hint="eastAsia" w:ascii="Times New Roman" w:hAnsi="Times New Roman" w:eastAsia="仿宋_GB2312"/>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1179" w:type="dxa"/>
            <w:tcBorders>
              <w:tl2br w:val="nil"/>
              <w:tr2bl w:val="nil"/>
            </w:tcBorders>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技术部分</w:t>
            </w:r>
          </w:p>
          <w:p>
            <w:pPr>
              <w:adjustRightInd w:val="0"/>
              <w:snapToGrid w:val="0"/>
              <w:spacing w:before="156" w:beforeLines="50"/>
              <w:jc w:val="center"/>
              <w:rPr>
                <w:rFonts w:ascii="Times New Roman" w:hAnsi="Times New Roman" w:eastAsia="仿宋_GB2312"/>
                <w:szCs w:val="21"/>
              </w:rPr>
            </w:pPr>
            <w:r>
              <w:rPr>
                <w:rFonts w:ascii="Times New Roman" w:hAnsi="Times New Roman" w:eastAsia="仿宋_GB2312"/>
                <w:b/>
                <w:bCs/>
                <w:szCs w:val="21"/>
              </w:rPr>
              <w:t>（45分）</w:t>
            </w:r>
          </w:p>
        </w:tc>
        <w:tc>
          <w:tcPr>
            <w:tcW w:w="1074" w:type="dxa"/>
            <w:tcBorders>
              <w:top w:val="single" w:color="000000" w:sz="4" w:space="0"/>
              <w:bottom w:val="single" w:color="auto" w:sz="4" w:space="0"/>
              <w:tl2br w:val="nil"/>
              <w:tr2bl w:val="nil"/>
            </w:tcBorders>
            <w:noWrap w:val="0"/>
            <w:vAlign w:val="center"/>
          </w:tcPr>
          <w:p>
            <w:pPr>
              <w:spacing w:line="360" w:lineRule="exact"/>
              <w:jc w:val="center"/>
              <w:textAlignment w:val="center"/>
              <w:rPr>
                <w:rFonts w:ascii="Times New Roman" w:hAnsi="Times New Roman" w:eastAsia="仿宋_GB2312"/>
              </w:rPr>
            </w:pPr>
            <w:r>
              <w:rPr>
                <w:rFonts w:ascii="Times New Roman" w:hAnsi="Times New Roman" w:eastAsia="仿宋_GB2312"/>
              </w:rPr>
              <w:t>服务执行</w:t>
            </w:r>
          </w:p>
        </w:tc>
        <w:tc>
          <w:tcPr>
            <w:tcW w:w="846" w:type="dxa"/>
            <w:tcBorders>
              <w:top w:val="single" w:color="000000" w:sz="4" w:space="0"/>
              <w:bottom w:val="single" w:color="auto" w:sz="4" w:space="0"/>
              <w:tl2br w:val="nil"/>
              <w:tr2bl w:val="nil"/>
            </w:tcBorders>
            <w:noWrap w:val="0"/>
            <w:vAlign w:val="center"/>
          </w:tcPr>
          <w:p>
            <w:pPr>
              <w:spacing w:before="156" w:beforeLines="50" w:line="320" w:lineRule="exact"/>
              <w:jc w:val="center"/>
              <w:textAlignment w:val="center"/>
              <w:rPr>
                <w:rFonts w:ascii="Times New Roman" w:hAnsi="Times New Roman" w:eastAsia="仿宋_GB2312"/>
              </w:rPr>
            </w:pPr>
            <w:r>
              <w:rPr>
                <w:rFonts w:ascii="Times New Roman" w:hAnsi="Times New Roman" w:eastAsia="仿宋_GB2312"/>
                <w:kern w:val="0"/>
                <w:szCs w:val="21"/>
                <w:lang w:bidi="mr-IN"/>
              </w:rPr>
              <w:t>45分</w:t>
            </w:r>
          </w:p>
        </w:tc>
        <w:tc>
          <w:tcPr>
            <w:tcW w:w="6279" w:type="dxa"/>
            <w:tcBorders>
              <w:top w:val="single" w:color="000000" w:sz="4" w:space="0"/>
              <w:bottom w:val="single" w:color="auto" w:sz="4" w:space="0"/>
              <w:tl2br w:val="nil"/>
              <w:tr2bl w:val="nil"/>
            </w:tcBorders>
            <w:noWrap w:val="0"/>
            <w:vAlign w:val="center"/>
          </w:tcPr>
          <w:p>
            <w:pPr>
              <w:jc w:val="left"/>
              <w:rPr>
                <w:rFonts w:hint="eastAsia" w:ascii="Times New Roman" w:hAnsi="Times New Roman" w:eastAsia="仿宋_GB2312"/>
                <w:lang w:eastAsia="zh-CN"/>
              </w:rPr>
            </w:pPr>
            <w:r>
              <w:rPr>
                <w:rFonts w:ascii="Times New Roman" w:hAnsi="Times New Roman" w:eastAsia="仿宋_GB2312"/>
              </w:rPr>
              <w:t>制定行程方案。行程方案及提供服务内容完善细致、合理、操作性强，满足需求，根据方案响应采购需求情况，行程方案包含每日详细安排</w:t>
            </w:r>
            <w:r>
              <w:rPr>
                <w:rFonts w:hint="eastAsia" w:ascii="Times New Roman" w:hAnsi="Times New Roman" w:eastAsia="仿宋_GB2312"/>
                <w:lang w:eastAsia="zh-CN"/>
              </w:rPr>
              <w:t>。服务内容覆盖境外住宿餐饮协调、现场</w:t>
            </w:r>
            <w:r>
              <w:rPr>
                <w:rFonts w:hint="eastAsia" w:ascii="Times New Roman" w:hAnsi="Times New Roman" w:eastAsia="仿宋_GB2312"/>
                <w:lang w:val="en-US" w:eastAsia="zh-CN"/>
              </w:rPr>
              <w:t>导游</w:t>
            </w:r>
            <w:r>
              <w:rPr>
                <w:rFonts w:hint="eastAsia" w:ascii="Times New Roman" w:hAnsi="Times New Roman" w:eastAsia="仿宋_GB2312"/>
                <w:lang w:eastAsia="zh-CN"/>
              </w:rPr>
              <w:t>等全流程。方案结合项目特点定制化设计</w:t>
            </w:r>
            <w:r>
              <w:rPr>
                <w:rFonts w:ascii="Times New Roman" w:hAnsi="Times New Roman" w:eastAsia="仿宋_GB2312"/>
              </w:rPr>
              <w:t>；得35-45分；行程方案及提供服务内容欠完善，但具有一定可行性的，基本满足项目需求，根据方案响应采购需求情况，行程方案包含主要日程和基础服务</w:t>
            </w:r>
            <w:r>
              <w:rPr>
                <w:rFonts w:hint="eastAsia" w:ascii="Times New Roman" w:hAnsi="Times New Roman" w:eastAsia="仿宋_GB2312"/>
                <w:lang w:eastAsia="zh-CN"/>
              </w:rPr>
              <w:t>。具备基本可行性，但细节不够完善。满足项目核心需求；</w:t>
            </w:r>
            <w:r>
              <w:rPr>
                <w:rFonts w:ascii="Times New Roman" w:hAnsi="Times New Roman" w:eastAsia="仿宋_GB2312"/>
              </w:rPr>
              <w:t>得25-35分；行程方案及提供服务内容有欠缺、不太满足项目需求的，根据行程方案响应采购需求情况，行程方案内容简略</w:t>
            </w:r>
            <w:r>
              <w:rPr>
                <w:rFonts w:hint="eastAsia" w:ascii="Times New Roman" w:hAnsi="Times New Roman" w:eastAsia="仿宋_GB2312"/>
                <w:lang w:eastAsia="zh-CN"/>
              </w:rPr>
              <w:t>。服务内容存在明显缺漏。部分需求未响应；</w:t>
            </w:r>
            <w:r>
              <w:rPr>
                <w:rFonts w:ascii="Times New Roman" w:hAnsi="Times New Roman" w:eastAsia="仿宋_GB2312"/>
              </w:rPr>
              <w:t>得10-25分。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79" w:type="dxa"/>
            <w:tcBorders>
              <w:tl2br w:val="nil"/>
              <w:tr2bl w:val="nil"/>
            </w:tcBorders>
            <w:noWrap w:val="0"/>
            <w:vAlign w:val="center"/>
          </w:tcPr>
          <w:p>
            <w:pPr>
              <w:adjustRightInd w:val="0"/>
              <w:snapToGrid w:val="0"/>
              <w:spacing w:before="156" w:beforeLines="50"/>
              <w:jc w:val="center"/>
              <w:rPr>
                <w:rFonts w:ascii="Times New Roman" w:hAnsi="Times New Roman" w:eastAsia="仿宋_GB2312"/>
                <w:b/>
                <w:bCs/>
                <w:szCs w:val="21"/>
              </w:rPr>
            </w:pPr>
            <w:r>
              <w:rPr>
                <w:rFonts w:ascii="Times New Roman" w:hAnsi="Times New Roman" w:eastAsia="仿宋_GB2312"/>
                <w:b/>
                <w:bCs/>
                <w:szCs w:val="21"/>
              </w:rPr>
              <w:t>价格部分（30分）</w:t>
            </w:r>
          </w:p>
        </w:tc>
        <w:tc>
          <w:tcPr>
            <w:tcW w:w="1074" w:type="dxa"/>
            <w:tcBorders>
              <w:tl2br w:val="nil"/>
              <w:tr2bl w:val="nil"/>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投标报价</w:t>
            </w:r>
          </w:p>
        </w:tc>
        <w:tc>
          <w:tcPr>
            <w:tcW w:w="846" w:type="dxa"/>
            <w:tcBorders>
              <w:tl2br w:val="nil"/>
              <w:tr2bl w:val="nil"/>
            </w:tcBorders>
            <w:noWrap w:val="0"/>
            <w:vAlign w:val="center"/>
          </w:tcPr>
          <w:p>
            <w:pPr>
              <w:jc w:val="center"/>
              <w:rPr>
                <w:rFonts w:ascii="Times New Roman" w:hAnsi="Times New Roman" w:eastAsia="仿宋_GB2312"/>
                <w:szCs w:val="21"/>
              </w:rPr>
            </w:pPr>
            <w:r>
              <w:rPr>
                <w:rStyle w:val="9"/>
                <w:rFonts w:ascii="Times New Roman" w:hAnsi="Times New Roman" w:eastAsia="仿宋_GB2312"/>
                <w:szCs w:val="22"/>
              </w:rPr>
              <w:t>30分</w:t>
            </w:r>
          </w:p>
        </w:tc>
        <w:tc>
          <w:tcPr>
            <w:tcW w:w="6279" w:type="dxa"/>
            <w:tcBorders>
              <w:tl2br w:val="nil"/>
              <w:tr2bl w:val="nil"/>
            </w:tcBorders>
            <w:noWrap w:val="0"/>
            <w:vAlign w:val="center"/>
          </w:tcPr>
          <w:p>
            <w:pPr>
              <w:spacing w:before="156" w:beforeLines="50"/>
              <w:rPr>
                <w:rFonts w:ascii="Times New Roman" w:hAnsi="Times New Roman" w:eastAsia="仿宋_GB2312"/>
                <w:bCs/>
                <w:szCs w:val="21"/>
              </w:rPr>
            </w:pPr>
            <w:r>
              <w:rPr>
                <w:rFonts w:ascii="Times New Roman" w:hAnsi="Times New Roman" w:eastAsia="仿宋_GB2312"/>
                <w:bCs/>
                <w:szCs w:val="21"/>
              </w:rPr>
              <w:t>经评委会认定满足招标文件要求且投标价格最低的投标报价为评标基准价，其价格得分计30分。其他投标人的价格得分统一按公式计算：报价得分＝评标基准价÷投标报价×30。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79" w:type="dxa"/>
            <w:tcBorders>
              <w:tl2br w:val="nil"/>
              <w:tr2bl w:val="nil"/>
            </w:tcBorders>
            <w:noWrap w:val="0"/>
            <w:vAlign w:val="center"/>
          </w:tcPr>
          <w:p>
            <w:pPr>
              <w:jc w:val="center"/>
              <w:rPr>
                <w:rStyle w:val="9"/>
                <w:rFonts w:ascii="Times New Roman" w:hAnsi="Times New Roman" w:eastAsia="仿宋_GB2312"/>
                <w:b/>
                <w:bCs/>
                <w:szCs w:val="21"/>
              </w:rPr>
            </w:pPr>
            <w:r>
              <w:rPr>
                <w:rStyle w:val="9"/>
                <w:rFonts w:ascii="Times New Roman" w:hAnsi="Times New Roman" w:eastAsia="仿宋_GB2312"/>
                <w:b/>
                <w:bCs/>
                <w:szCs w:val="21"/>
              </w:rPr>
              <w:t>合计</w:t>
            </w:r>
          </w:p>
        </w:tc>
        <w:tc>
          <w:tcPr>
            <w:tcW w:w="1074" w:type="dxa"/>
            <w:tcBorders>
              <w:tl2br w:val="nil"/>
              <w:tr2bl w:val="nil"/>
            </w:tcBorders>
            <w:noWrap w:val="0"/>
            <w:vAlign w:val="center"/>
          </w:tcPr>
          <w:p>
            <w:pPr>
              <w:jc w:val="center"/>
              <w:rPr>
                <w:rStyle w:val="9"/>
                <w:rFonts w:ascii="Times New Roman" w:hAnsi="Times New Roman" w:eastAsia="仿宋_GB2312"/>
                <w:b/>
                <w:bCs/>
                <w:szCs w:val="22"/>
              </w:rPr>
            </w:pPr>
          </w:p>
        </w:tc>
        <w:tc>
          <w:tcPr>
            <w:tcW w:w="846" w:type="dxa"/>
            <w:tcBorders>
              <w:tl2br w:val="nil"/>
              <w:tr2bl w:val="nil"/>
            </w:tcBorders>
            <w:noWrap w:val="0"/>
            <w:vAlign w:val="center"/>
          </w:tcPr>
          <w:p>
            <w:pPr>
              <w:jc w:val="center"/>
              <w:rPr>
                <w:rStyle w:val="9"/>
                <w:rFonts w:ascii="Times New Roman" w:hAnsi="Times New Roman" w:eastAsia="仿宋_GB2312"/>
                <w:b/>
                <w:bCs/>
                <w:szCs w:val="22"/>
              </w:rPr>
            </w:pPr>
            <w:r>
              <w:rPr>
                <w:rStyle w:val="9"/>
                <w:rFonts w:ascii="Times New Roman" w:hAnsi="Times New Roman" w:eastAsia="仿宋_GB2312"/>
                <w:b/>
                <w:bCs/>
                <w:szCs w:val="22"/>
              </w:rPr>
              <w:t>100分</w:t>
            </w:r>
          </w:p>
        </w:tc>
        <w:tc>
          <w:tcPr>
            <w:tcW w:w="6279" w:type="dxa"/>
            <w:tcBorders>
              <w:tl2br w:val="nil"/>
              <w:tr2bl w:val="nil"/>
            </w:tcBorders>
            <w:noWrap w:val="0"/>
            <w:vAlign w:val="center"/>
          </w:tcPr>
          <w:p>
            <w:pPr>
              <w:spacing w:before="156" w:beforeLines="50"/>
              <w:rPr>
                <w:rFonts w:ascii="Times New Roman" w:hAnsi="Times New Roman" w:eastAsia="仿宋_GB2312"/>
                <w:szCs w:val="21"/>
              </w:rPr>
            </w:pPr>
          </w:p>
        </w:tc>
      </w:tr>
    </w:tbl>
    <w:p>
      <w:r>
        <w:rPr>
          <w:rFonts w:ascii="Times New Roman" w:hAnsi="Times New Roman" w:eastAsia="仿宋_GB2312" w:cs="Times New Roman"/>
          <w:bCs/>
        </w:rPr>
        <w:t>说明：供应商参与政府采购应提供真实有效的证明材料，应当诚信守法、公平竞争。如提供虚假材料（包括但不限于虚假技术参数响应、制造虚假业绩、虚假证书等）、隐瞒失信信息等谋取中标的行为，一经发现，将报行政监管部门严肃查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Bliss Light">
    <w:altName w:val="DejaVu Math TeX Gyre"/>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O70Z8bwBAABbAwAADgAAAAAAAAABACAAAAA1AQAA&#10;ZHJzL2Uyb0RvYy54bWxQSwUGAAAAAAYABgBZAQAAYwUAAAAA&#10;">
              <v:fill on="f" focussize="0,0"/>
              <v:stroke on="f" weight="0.5pt"/>
              <v:imagedata o:title=""/>
              <o:lock v:ext="edit" aspectratio="f"/>
              <v:textbox inset="0mm,0mm,0mm,0mm" style="mso-fit-shape-to-text:t;">
                <w:txbxContent>
                  <w:p>
                    <w:pPr>
                      <w:pStyle w:val="4"/>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21067"/>
    <w:rsid w:val="1FDEB7F9"/>
    <w:rsid w:val="22021067"/>
    <w:rsid w:val="331B019D"/>
    <w:rsid w:val="380B4369"/>
    <w:rsid w:val="3A4D6403"/>
    <w:rsid w:val="3DBFCD3C"/>
    <w:rsid w:val="449C764C"/>
    <w:rsid w:val="4D720CBA"/>
    <w:rsid w:val="4FEF0343"/>
    <w:rsid w:val="5A260CA5"/>
    <w:rsid w:val="64482B67"/>
    <w:rsid w:val="6D7EF491"/>
    <w:rsid w:val="70CD606E"/>
    <w:rsid w:val="71FDD1FE"/>
    <w:rsid w:val="76D79462"/>
    <w:rsid w:val="77E38E6F"/>
    <w:rsid w:val="77EE6171"/>
    <w:rsid w:val="7AAF32C6"/>
    <w:rsid w:val="7CD24A22"/>
    <w:rsid w:val="7F3FBB4B"/>
    <w:rsid w:val="ABD3690C"/>
    <w:rsid w:val="B93DC413"/>
    <w:rsid w:val="BCEA2644"/>
    <w:rsid w:val="CF3FC6FC"/>
    <w:rsid w:val="DBBF5871"/>
    <w:rsid w:val="EE8DAAAA"/>
    <w:rsid w:val="EF5D88FB"/>
    <w:rsid w:val="EFFB4051"/>
    <w:rsid w:val="F45F4839"/>
    <w:rsid w:val="F639BF71"/>
    <w:rsid w:val="F73D7C9B"/>
    <w:rsid w:val="F76F37AA"/>
    <w:rsid w:val="FBFB3002"/>
    <w:rsid w:val="FDBFFB27"/>
    <w:rsid w:val="FFAF2433"/>
    <w:rsid w:val="FFEFF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en-US" w:eastAsia="zh-CN" w:bidi="ar-SA"/>
    </w:rPr>
  </w:style>
  <w:style w:type="paragraph" w:styleId="3">
    <w:name w:val="Plain Text"/>
    <w:basedOn w:val="1"/>
    <w:qFormat/>
    <w:uiPriority w:val="0"/>
    <w:rPr>
      <w:rFonts w:ascii="宋体"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Normal_1"/>
    <w:qFormat/>
    <w:uiPriority w:val="0"/>
    <w:rPr>
      <w:rFonts w:ascii="Calibri" w:hAnsi="Calibri" w:eastAsia="宋体" w:cs="Times New Roman"/>
      <w:sz w:val="24"/>
      <w:szCs w:val="24"/>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1315</Words>
  <Characters>1362</Characters>
  <Lines>0</Lines>
  <Paragraphs>0</Paragraphs>
  <TotalTime>2</TotalTime>
  <ScaleCrop>false</ScaleCrop>
  <LinksUpToDate>false</LinksUpToDate>
  <CharactersWithSpaces>1362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2025-08-23T04:44:00Z</dcterms:created>
  <dc:creator>7788</dc:creator>
  <cp:lastModifiedBy>xjkp</cp:lastModifiedBy>
  <dcterms:modified xsi:type="dcterms:W3CDTF">2025-08-27T11:16:02Z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936185257B5F40028C2B0116605E6A96_11</vt:lpwstr>
  </property>
  <property fmtid="{D5CDD505-2E9C-101B-9397-08002B2CF9AE}" pid="4" name="KSOTemplateDocerSaveRecord">
    <vt:lpwstr>eyJoZGlkIjoiZTA4NzIyN2MxYTlmMzQ1NGE2MjU5NWRkMjhlOGMxYTAiLCJ1c2VySWQiOiI1NTg3NzM0NzMifQ==</vt:lpwstr>
  </property>
</Properties>
</file>