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2025年湖南省商务厅出访泰国、马来西亚委托</w:t>
      </w:r>
    </w:p>
    <w:p>
      <w:pPr>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val="0"/>
          <w:bCs w:val="0"/>
          <w:sz w:val="40"/>
          <w:szCs w:val="40"/>
        </w:rPr>
      </w:pPr>
      <w:r>
        <w:rPr>
          <w:rFonts w:hint="default" w:ascii="Times New Roman" w:hAnsi="Times New Roman" w:eastAsia="方正小标宋简体" w:cs="Times New Roman"/>
          <w:b w:val="0"/>
          <w:bCs w:val="0"/>
          <w:sz w:val="40"/>
          <w:szCs w:val="40"/>
          <w:lang w:val="en-US" w:eastAsia="zh-CN"/>
        </w:rPr>
        <w:t>服务项目</w:t>
      </w:r>
      <w:r>
        <w:rPr>
          <w:rFonts w:hint="default" w:ascii="Times New Roman" w:hAnsi="Times New Roman" w:eastAsia="方正小标宋简体" w:cs="Times New Roman"/>
          <w:b w:val="0"/>
          <w:bCs w:val="0"/>
          <w:sz w:val="40"/>
          <w:szCs w:val="40"/>
          <w:lang w:eastAsia="zh-CN"/>
        </w:rPr>
        <w:t>磋商</w:t>
      </w:r>
      <w:r>
        <w:rPr>
          <w:rFonts w:hint="default" w:ascii="Times New Roman" w:hAnsi="Times New Roman" w:eastAsia="方正小标宋简体" w:cs="Times New Roman"/>
          <w:b w:val="0"/>
          <w:bCs w:val="0"/>
          <w:sz w:val="40"/>
          <w:szCs w:val="40"/>
        </w:rPr>
        <w:t>文件</w:t>
      </w:r>
    </w:p>
    <w:p>
      <w:pPr>
        <w:pageBreakBefore w:val="0"/>
        <w:kinsoku/>
        <w:wordWrap/>
        <w:overflowPunct/>
        <w:topLinePunct w:val="0"/>
        <w:autoSpaceDE/>
        <w:autoSpaceDN/>
        <w:bidi w:val="0"/>
        <w:spacing w:line="580" w:lineRule="exact"/>
        <w:ind w:firstLine="883" w:firstLineChars="200"/>
        <w:jc w:val="center"/>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eastAsia"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2025年湖南省商务厅出访泰国、马来西亚委托服务项目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2.预算金额: </w:t>
      </w:r>
      <w:r>
        <w:rPr>
          <w:rFonts w:hint="eastAsia" w:eastAsia="仿宋_GB2312" w:cs="Times New Roman"/>
          <w:color w:val="auto"/>
          <w:sz w:val="32"/>
          <w:szCs w:val="32"/>
          <w:lang w:val="en-US" w:eastAsia="zh-CN"/>
        </w:rPr>
        <w:t>5.225</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。费用包括</w:t>
      </w:r>
      <w:r>
        <w:rPr>
          <w:rFonts w:hint="default" w:ascii="Times New Roman" w:hAnsi="Times New Roman" w:eastAsia="仿宋_GB2312" w:cs="Times New Roman"/>
          <w:color w:val="auto"/>
          <w:sz w:val="32"/>
          <w:szCs w:val="32"/>
          <w:lang w:val="en-US" w:eastAsia="zh-CN"/>
        </w:rPr>
        <w:t>我厅</w:t>
      </w:r>
      <w:r>
        <w:rPr>
          <w:rFonts w:hint="eastAsia"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lang w:val="en-US" w:eastAsia="zh-CN"/>
        </w:rPr>
        <w:t>出访</w:t>
      </w:r>
      <w:r>
        <w:rPr>
          <w:rFonts w:hint="eastAsia" w:eastAsia="仿宋_GB2312" w:cs="Times New Roman"/>
          <w:color w:val="auto"/>
          <w:sz w:val="32"/>
          <w:szCs w:val="32"/>
          <w:lang w:val="en-US" w:eastAsia="zh-CN"/>
        </w:rPr>
        <w:t>人员（厅级领导1人、副处长1人）</w:t>
      </w:r>
      <w:r>
        <w:rPr>
          <w:rFonts w:hint="default" w:ascii="Times New Roman" w:hAnsi="Times New Roman" w:eastAsia="仿宋_GB2312" w:cs="Times New Roman"/>
          <w:color w:val="auto"/>
          <w:sz w:val="32"/>
          <w:szCs w:val="32"/>
          <w:lang w:val="en-US" w:eastAsia="zh-CN"/>
        </w:rPr>
        <w:t>的境外住宿费、伙食费、公杂费的统筹使用，境外地接</w:t>
      </w:r>
      <w:r>
        <w:rPr>
          <w:rFonts w:hint="eastAsia" w:eastAsia="仿宋_GB2312" w:cs="Times New Roman"/>
          <w:color w:val="auto"/>
          <w:sz w:val="32"/>
          <w:szCs w:val="32"/>
          <w:lang w:val="en-US" w:eastAsia="zh-CN"/>
        </w:rPr>
        <w:t>及翻译</w:t>
      </w:r>
      <w:r>
        <w:rPr>
          <w:rFonts w:hint="default" w:ascii="Times New Roman" w:hAnsi="Times New Roman" w:eastAsia="仿宋_GB2312" w:cs="Times New Roman"/>
          <w:color w:val="auto"/>
          <w:sz w:val="32"/>
          <w:szCs w:val="32"/>
          <w:lang w:val="en-US" w:eastAsia="zh-CN"/>
        </w:rPr>
        <w:t>服务、境外城市间车辆租赁、出访手续代办、境外人身财产保险费用等</w:t>
      </w:r>
      <w:r>
        <w:rPr>
          <w:rFonts w:hint="eastAsia"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费用。</w:t>
      </w:r>
      <w:r>
        <w:rPr>
          <w:rFonts w:hint="eastAsia" w:eastAsia="仿宋_GB2312" w:cs="Times New Roman"/>
          <w:color w:val="auto"/>
          <w:sz w:val="32"/>
          <w:szCs w:val="32"/>
          <w:lang w:val="en-US" w:eastAsia="zh-CN"/>
        </w:rPr>
        <w:t>美</w:t>
      </w:r>
      <w:r>
        <w:rPr>
          <w:rFonts w:hint="default" w:ascii="Times New Roman" w:hAnsi="Times New Roman" w:eastAsia="仿宋_GB2312" w:cs="Times New Roman"/>
          <w:color w:val="auto"/>
          <w:sz w:val="32"/>
          <w:szCs w:val="32"/>
          <w:lang w:val="en-US" w:eastAsia="zh-CN"/>
        </w:rPr>
        <w:t>元</w:t>
      </w:r>
      <w:r>
        <w:rPr>
          <w:rFonts w:hint="eastAsia" w:eastAsia="仿宋_GB2312" w:cs="Times New Roman"/>
          <w:color w:val="auto"/>
          <w:sz w:val="32"/>
          <w:szCs w:val="32"/>
          <w:lang w:val="en-US" w:eastAsia="zh-CN"/>
        </w:rPr>
        <w:t>汇率</w:t>
      </w:r>
      <w:r>
        <w:rPr>
          <w:rFonts w:hint="default" w:ascii="Times New Roman" w:hAnsi="Times New Roman" w:eastAsia="仿宋_GB2312" w:cs="Times New Roman"/>
          <w:color w:val="auto"/>
          <w:sz w:val="32"/>
          <w:szCs w:val="32"/>
          <w:lang w:val="en-US" w:eastAsia="zh-CN"/>
        </w:rPr>
        <w:t>按</w:t>
      </w:r>
      <w:r>
        <w:rPr>
          <w:rFonts w:hint="eastAsia" w:eastAsia="仿宋_GB2312" w:cs="Times New Roman"/>
          <w:color w:val="auto"/>
          <w:sz w:val="32"/>
          <w:szCs w:val="32"/>
          <w:lang w:val="en-US" w:eastAsia="zh-CN"/>
        </w:rPr>
        <w:t>7</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eastAsia="zh-CN"/>
        </w:rPr>
        <w:t>估</w:t>
      </w:r>
      <w:r>
        <w:rPr>
          <w:rFonts w:hint="default" w:ascii="Times New Roman" w:hAnsi="Times New Roman" w:eastAsia="仿宋_GB2312" w:cs="Times New Roman"/>
          <w:sz w:val="32"/>
          <w:szCs w:val="32"/>
          <w:lang w:eastAsia="zh-CN"/>
        </w:rPr>
        <w:t>算</w:t>
      </w:r>
      <w:r>
        <w:rPr>
          <w:rFonts w:hint="default" w:ascii="Times New Roman" w:hAnsi="Times New Roman" w:eastAsia="仿宋_GB2312" w:cs="Times New Roman"/>
          <w:color w:val="auto"/>
          <w:sz w:val="32"/>
          <w:szCs w:val="32"/>
          <w:lang w:val="en-US" w:eastAsia="zh-CN"/>
        </w:rPr>
        <w:t>，以实际兑换汇率为准。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3.最高限价: </w:t>
      </w:r>
      <w:r>
        <w:rPr>
          <w:rFonts w:hint="eastAsia" w:eastAsia="仿宋_GB2312" w:cs="Times New Roman"/>
          <w:color w:val="auto"/>
          <w:sz w:val="32"/>
          <w:szCs w:val="32"/>
          <w:lang w:val="en-US" w:eastAsia="zh-CN"/>
        </w:rPr>
        <w:t>5.225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（投标报价超过最高限价视为无效投标）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4.采购形式:</w:t>
      </w:r>
      <w:r>
        <w:rPr>
          <w:rFonts w:hint="default" w:ascii="Times New Roman" w:hAnsi="Times New Roman" w:eastAsia="仿宋_GB2312" w:cs="Times New Roman"/>
          <w:color w:val="auto"/>
          <w:sz w:val="32"/>
          <w:szCs w:val="32"/>
          <w:lang w:val="en-US" w:eastAsia="zh-CN"/>
        </w:rPr>
        <w:t>竞争性</w:t>
      </w:r>
      <w:r>
        <w:rPr>
          <w:rFonts w:hint="eastAsia" w:eastAsia="仿宋_GB2312" w:cs="Times New Roman"/>
          <w:color w:val="auto"/>
          <w:sz w:val="32"/>
          <w:szCs w:val="32"/>
          <w:lang w:val="en-US" w:eastAsia="zh-CN"/>
        </w:rPr>
        <w:t>比选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5.定标方式:</w:t>
      </w:r>
      <w:r>
        <w:rPr>
          <w:rFonts w:hint="default" w:ascii="Times New Roman" w:hAnsi="Times New Roman" w:eastAsia="仿宋_GB2312" w:cs="Times New Roman"/>
          <w:color w:val="auto"/>
          <w:sz w:val="32"/>
          <w:szCs w:val="32"/>
          <w:lang w:val="en-US" w:eastAsia="zh-CN"/>
        </w:rPr>
        <w:t>综合评分</w:t>
      </w:r>
      <w:r>
        <w:rPr>
          <w:rFonts w:hint="eastAsia" w:eastAsia="仿宋_GB2312" w:cs="Times New Roman"/>
          <w:color w:val="auto"/>
          <w:sz w:val="32"/>
          <w:szCs w:val="32"/>
          <w:lang w:val="en-US" w:eastAsia="zh-CN"/>
        </w:rPr>
        <w:t>法</w:t>
      </w:r>
      <w:r>
        <w:rPr>
          <w:rFonts w:hint="default" w:ascii="Times New Roman" w:hAnsi="Times New Roman" w:eastAsia="仿宋_GB2312" w:cs="Times New Roman"/>
          <w:color w:val="auto"/>
          <w:sz w:val="32"/>
          <w:szCs w:val="32"/>
          <w:lang w:val="en-US" w:eastAsia="zh-CN"/>
        </w:rPr>
        <w:t>（评分细则</w:t>
      </w:r>
      <w:r>
        <w:rPr>
          <w:rFonts w:hint="eastAsia" w:eastAsia="仿宋_GB2312" w:cs="Times New Roman"/>
          <w:color w:val="auto"/>
          <w:sz w:val="32"/>
          <w:szCs w:val="32"/>
          <w:lang w:val="en-US" w:eastAsia="zh-CN"/>
        </w:rPr>
        <w:t>详</w:t>
      </w:r>
      <w:r>
        <w:rPr>
          <w:rFonts w:hint="default" w:ascii="Times New Roman" w:hAnsi="Times New Roman" w:eastAsia="仿宋_GB2312" w:cs="Times New Roman"/>
          <w:color w:val="auto"/>
          <w:sz w:val="32"/>
          <w:szCs w:val="32"/>
          <w:lang w:val="en-US" w:eastAsia="zh-CN"/>
        </w:rPr>
        <w:t>见附件）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b/>
          <w:bCs/>
          <w:color w:val="auto"/>
          <w:sz w:val="32"/>
          <w:szCs w:val="32"/>
          <w:lang w:val="en-US" w:eastAsia="zh-CN"/>
        </w:rPr>
        <w:t>6.服务周期:</w:t>
      </w:r>
      <w:r>
        <w:rPr>
          <w:rFonts w:hint="default" w:ascii="Times New Roman" w:hAnsi="Times New Roman" w:eastAsia="仿宋_GB2312" w:cs="Times New Roman"/>
          <w:color w:val="auto"/>
          <w:sz w:val="32"/>
          <w:szCs w:val="32"/>
          <w:lang w:val="en-US" w:eastAsia="zh-CN"/>
        </w:rPr>
        <w:t>双方签订合同日起至服务验收合格后结束（预计2个月）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二、出访任务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为落实2024年泰国亚洲商会拜访我厅达成的合作共识（泰国作为2025年湖南跨交会主宾国），积极响应其邀请</w:t>
      </w:r>
      <w:r>
        <w:rPr>
          <w:rFonts w:hint="eastAsia" w:eastAsia="仿宋_GB2312" w:cs="Times New Roman"/>
          <w:color w:val="auto"/>
          <w:sz w:val="32"/>
          <w:szCs w:val="32"/>
          <w:lang w:eastAsia="zh-CN"/>
        </w:rPr>
        <w:t>我省</w:t>
      </w:r>
      <w:r>
        <w:rPr>
          <w:rFonts w:hint="eastAsia" w:ascii="Times New Roman" w:hAnsi="Times New Roman" w:eastAsia="仿宋_GB2312" w:cs="Times New Roman"/>
          <w:color w:val="auto"/>
          <w:sz w:val="32"/>
          <w:szCs w:val="32"/>
          <w:lang w:eastAsia="zh-CN"/>
        </w:rPr>
        <w:t>回访参加2025年泰国</w:t>
      </w:r>
      <w:r>
        <w:rPr>
          <w:rFonts w:hint="eastAsia" w:eastAsia="仿宋_GB2312" w:cs="Times New Roman"/>
          <w:color w:val="auto"/>
          <w:sz w:val="32"/>
          <w:szCs w:val="32"/>
          <w:lang w:eastAsia="zh-CN"/>
        </w:rPr>
        <w:t>曼谷</w:t>
      </w:r>
      <w:r>
        <w:rPr>
          <w:rFonts w:hint="eastAsia" w:ascii="Times New Roman" w:hAnsi="Times New Roman" w:eastAsia="仿宋_GB2312" w:cs="Times New Roman"/>
          <w:color w:val="auto"/>
          <w:sz w:val="32"/>
          <w:szCs w:val="32"/>
          <w:lang w:eastAsia="zh-CN"/>
        </w:rPr>
        <w:t>跨境电商选品展览会，</w:t>
      </w:r>
      <w:r>
        <w:rPr>
          <w:rFonts w:hint="eastAsia" w:eastAsia="仿宋_GB2312" w:cs="Times New Roman"/>
          <w:color w:val="auto"/>
          <w:sz w:val="32"/>
          <w:szCs w:val="32"/>
          <w:lang w:eastAsia="zh-CN"/>
        </w:rPr>
        <w:t>我厅拟</w:t>
      </w:r>
      <w:r>
        <w:rPr>
          <w:rFonts w:hint="eastAsia" w:ascii="Times New Roman" w:hAnsi="Times New Roman" w:eastAsia="仿宋_GB2312" w:cs="Times New Roman"/>
          <w:color w:val="auto"/>
          <w:sz w:val="32"/>
          <w:szCs w:val="32"/>
          <w:lang w:eastAsia="zh-CN"/>
        </w:rPr>
        <w:t>于2025年9月23日</w:t>
      </w:r>
      <w:r>
        <w:rPr>
          <w:rFonts w:hint="eastAsia" w:eastAsia="仿宋_GB2312" w:cs="Times New Roman"/>
          <w:color w:val="auto"/>
          <w:sz w:val="32"/>
          <w:szCs w:val="32"/>
          <w:lang w:val="en-US" w:eastAsia="zh-CN"/>
        </w:rPr>
        <w:t>—</w:t>
      </w:r>
      <w:bookmarkStart w:id="0" w:name="_GoBack"/>
      <w:bookmarkEnd w:id="0"/>
      <w:r>
        <w:rPr>
          <w:rFonts w:hint="eastAsia" w:ascii="Times New Roman" w:hAnsi="Times New Roman" w:eastAsia="仿宋_GB2312" w:cs="Times New Roman"/>
          <w:color w:val="auto"/>
          <w:sz w:val="32"/>
          <w:szCs w:val="32"/>
          <w:lang w:eastAsia="zh-CN"/>
        </w:rPr>
        <w:t>27日赴泰国参展</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同时回访</w:t>
      </w:r>
      <w:r>
        <w:rPr>
          <w:rFonts w:hint="eastAsia" w:eastAsia="仿宋_GB2312" w:cs="Times New Roman"/>
          <w:color w:val="auto"/>
          <w:sz w:val="32"/>
          <w:szCs w:val="32"/>
          <w:lang w:val="en-US" w:eastAsia="zh-CN"/>
        </w:rPr>
        <w:t>马来西亚（2024年湖南跨交会主宾国）</w:t>
      </w:r>
      <w:r>
        <w:rPr>
          <w:rFonts w:hint="eastAsia" w:ascii="Times New Roman" w:hAnsi="Times New Roman" w:eastAsia="仿宋_GB2312" w:cs="Times New Roman"/>
          <w:color w:val="auto"/>
          <w:sz w:val="32"/>
          <w:szCs w:val="32"/>
          <w:lang w:eastAsia="zh-CN"/>
        </w:rPr>
        <w:t>，进一步</w:t>
      </w:r>
      <w:r>
        <w:rPr>
          <w:rFonts w:hint="eastAsia" w:eastAsia="仿宋_GB2312" w:cs="Times New Roman"/>
          <w:color w:val="auto"/>
          <w:sz w:val="32"/>
          <w:szCs w:val="32"/>
          <w:lang w:val="en-US" w:eastAsia="zh-CN"/>
        </w:rPr>
        <w:t>深化交流与合作，</w:t>
      </w:r>
      <w:r>
        <w:rPr>
          <w:rFonts w:hint="eastAsia" w:ascii="Times New Roman" w:hAnsi="Times New Roman" w:eastAsia="仿宋_GB2312" w:cs="Times New Roman"/>
          <w:color w:val="auto"/>
          <w:sz w:val="32"/>
          <w:szCs w:val="32"/>
          <w:lang w:eastAsia="zh-CN"/>
        </w:rPr>
        <w:t>对接本土平台及商协会资源，为“湘品出海”开拓泰、</w:t>
      </w:r>
      <w:r>
        <w:rPr>
          <w:rFonts w:hint="eastAsia" w:eastAsia="仿宋_GB2312" w:cs="Times New Roman"/>
          <w:color w:val="auto"/>
          <w:sz w:val="32"/>
          <w:szCs w:val="32"/>
          <w:lang w:val="en-US" w:eastAsia="zh-CN"/>
        </w:rPr>
        <w:t>马</w:t>
      </w:r>
      <w:r>
        <w:rPr>
          <w:rFonts w:hint="eastAsia" w:ascii="Times New Roman" w:hAnsi="Times New Roman" w:eastAsia="仿宋_GB2312" w:cs="Times New Roman"/>
          <w:color w:val="auto"/>
          <w:sz w:val="32"/>
          <w:szCs w:val="32"/>
          <w:lang w:eastAsia="zh-CN"/>
        </w:rPr>
        <w:t>两大战略市场争取实质性订单与合作成果。</w:t>
      </w:r>
      <w:r>
        <w:rPr>
          <w:rFonts w:hint="default" w:ascii="Times New Roman" w:hAnsi="Times New Roman" w:eastAsia="仿宋_GB2312" w:cs="Times New Roman"/>
          <w:color w:val="auto"/>
          <w:sz w:val="32"/>
          <w:szCs w:val="32"/>
          <w:lang w:val="en-US" w:eastAsia="zh-CN"/>
        </w:rPr>
        <w:t>主要任务</w:t>
      </w:r>
      <w:r>
        <w:rPr>
          <w:rFonts w:hint="eastAsia" w:eastAsia="仿宋_GB2312" w:cs="Times New Roman"/>
          <w:color w:val="auto"/>
          <w:sz w:val="32"/>
          <w:szCs w:val="32"/>
          <w:lang w:val="en-US" w:eastAsia="zh-CN"/>
        </w:rPr>
        <w:t>计划</w:t>
      </w:r>
      <w:r>
        <w:rPr>
          <w:rFonts w:hint="eastAsia"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（一）泰国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color w:val="auto"/>
          <w:sz w:val="32"/>
          <w:szCs w:val="32"/>
          <w:lang w:val="en-US" w:eastAsia="zh-CN"/>
        </w:rPr>
      </w:pPr>
      <w:r>
        <w:rPr>
          <w:rFonts w:hint="eastAsia" w:eastAsia="仿宋_GB2312" w:cs="Times New Roman"/>
          <w:b w:val="0"/>
          <w:bCs w:val="0"/>
          <w:sz w:val="32"/>
          <w:szCs w:val="32"/>
          <w:highlight w:val="none"/>
          <w:lang w:val="en-US" w:eastAsia="zh-CN"/>
        </w:rPr>
        <w:t>1.</w:t>
      </w:r>
      <w:r>
        <w:rPr>
          <w:rFonts w:hint="eastAsia" w:ascii="Times New Roman" w:hAnsi="Times New Roman" w:eastAsia="仿宋_GB2312" w:cs="Times New Roman"/>
          <w:color w:val="auto"/>
          <w:sz w:val="32"/>
          <w:szCs w:val="32"/>
          <w:lang w:eastAsia="zh-CN"/>
        </w:rPr>
        <w:t>拜访泰国</w:t>
      </w:r>
      <w:r>
        <w:rPr>
          <w:rFonts w:hint="eastAsia" w:eastAsia="仿宋_GB2312" w:cs="Times New Roman"/>
          <w:color w:val="auto"/>
          <w:sz w:val="32"/>
          <w:szCs w:val="32"/>
          <w:lang w:val="en-US" w:eastAsia="zh-CN"/>
        </w:rPr>
        <w:t>商业部</w:t>
      </w:r>
      <w:r>
        <w:rPr>
          <w:rFonts w:hint="eastAsia" w:ascii="Times New Roman" w:hAnsi="Times New Roman" w:eastAsia="仿宋_GB2312" w:cs="Times New Roman"/>
          <w:color w:val="auto"/>
          <w:sz w:val="32"/>
          <w:szCs w:val="32"/>
          <w:lang w:eastAsia="zh-CN"/>
        </w:rPr>
        <w:t>，以跨境电商为纽带，</w:t>
      </w:r>
      <w:r>
        <w:rPr>
          <w:rFonts w:hint="eastAsia" w:eastAsia="仿宋_GB2312" w:cs="Times New Roman"/>
          <w:color w:val="auto"/>
          <w:sz w:val="32"/>
          <w:szCs w:val="32"/>
          <w:lang w:val="en-US" w:eastAsia="zh-CN"/>
        </w:rPr>
        <w:t>重点围绕贸易便利化、市场准入及电商生态建设深入交流，</w:t>
      </w:r>
      <w:r>
        <w:rPr>
          <w:rFonts w:hint="eastAsia" w:ascii="Times New Roman" w:hAnsi="Times New Roman" w:eastAsia="仿宋_GB2312" w:cs="Times New Roman"/>
          <w:color w:val="auto"/>
          <w:sz w:val="32"/>
          <w:szCs w:val="32"/>
          <w:lang w:eastAsia="zh-CN"/>
        </w:rPr>
        <w:t>推动湖南产业带企业与泰国市场的精准对接，</w:t>
      </w:r>
      <w:r>
        <w:rPr>
          <w:rFonts w:hint="eastAsia" w:eastAsia="仿宋_GB2312" w:cs="Times New Roman"/>
          <w:color w:val="auto"/>
          <w:sz w:val="32"/>
          <w:szCs w:val="32"/>
          <w:lang w:val="en-US" w:eastAsia="zh-CN"/>
        </w:rPr>
        <w:t>促进双边贸易增长。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sz w:val="32"/>
          <w:szCs w:val="32"/>
          <w:highlight w:val="none"/>
          <w:lang w:eastAsia="zh-CN"/>
        </w:rPr>
      </w:pPr>
      <w:r>
        <w:rPr>
          <w:rFonts w:hint="eastAsia" w:eastAsia="仿宋_GB2312" w:cs="Times New Roman"/>
          <w:color w:val="auto"/>
          <w:sz w:val="32"/>
          <w:szCs w:val="32"/>
          <w:lang w:val="en-US" w:eastAsia="zh-CN"/>
        </w:rPr>
        <w:t>2.</w:t>
      </w:r>
      <w:r>
        <w:rPr>
          <w:rFonts w:hint="eastAsia" w:eastAsia="仿宋_GB2312" w:cs="Times New Roman"/>
          <w:sz w:val="32"/>
          <w:szCs w:val="32"/>
          <w:highlight w:val="none"/>
          <w:lang w:eastAsia="zh-CN"/>
        </w:rPr>
        <w:t>拜访泰国</w:t>
      </w:r>
      <w:r>
        <w:rPr>
          <w:rFonts w:hint="eastAsia" w:eastAsia="仿宋_GB2312" w:cs="Times New Roman"/>
          <w:sz w:val="32"/>
          <w:szCs w:val="32"/>
          <w:highlight w:val="none"/>
          <w:lang w:val="en-US" w:eastAsia="zh-CN"/>
        </w:rPr>
        <w:t>工业部</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重点围绕工业品线上贸易、产业带数字化及供应链协同开展交流，促进双方在工业制造产业领域的电商合作</w:t>
      </w:r>
      <w:r>
        <w:rPr>
          <w:rFonts w:hint="eastAsia"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val="en-US" w:eastAsia="zh-CN"/>
        </w:rPr>
        <w:t>3.</w:t>
      </w:r>
      <w:r>
        <w:rPr>
          <w:rFonts w:hint="eastAsia" w:eastAsia="仿宋_GB2312" w:cs="Times New Roman"/>
          <w:b w:val="0"/>
          <w:bCs w:val="0"/>
          <w:sz w:val="32"/>
          <w:szCs w:val="32"/>
          <w:highlight w:val="none"/>
          <w:lang w:val="en-US" w:eastAsia="zh-CN"/>
        </w:rPr>
        <w:t>拜会</w:t>
      </w:r>
      <w:r>
        <w:rPr>
          <w:rFonts w:hint="eastAsia" w:ascii="Times New Roman" w:hAnsi="Times New Roman" w:eastAsia="仿宋_GB2312" w:cs="Times New Roman"/>
          <w:sz w:val="32"/>
          <w:szCs w:val="32"/>
          <w:highlight w:val="none"/>
        </w:rPr>
        <w:t>亚洲国际投资商会</w:t>
      </w:r>
      <w:r>
        <w:rPr>
          <w:rFonts w:hint="eastAsia" w:eastAsia="仿宋_GB2312" w:cs="Times New Roman"/>
          <w:sz w:val="32"/>
          <w:szCs w:val="32"/>
          <w:highlight w:val="none"/>
          <w:lang w:eastAsia="zh-CN"/>
        </w:rPr>
        <w:t>，回访泰国企业来湘参加</w:t>
      </w:r>
      <w:r>
        <w:rPr>
          <w:rFonts w:hint="eastAsia" w:eastAsia="仿宋_GB2312" w:cs="Times New Roman"/>
          <w:sz w:val="32"/>
          <w:szCs w:val="32"/>
          <w:highlight w:val="none"/>
          <w:lang w:val="en-US" w:eastAsia="zh-CN"/>
        </w:rPr>
        <w:t>2025年</w:t>
      </w:r>
      <w:r>
        <w:rPr>
          <w:rFonts w:hint="eastAsia" w:eastAsia="仿宋_GB2312" w:cs="Times New Roman"/>
          <w:sz w:val="32"/>
          <w:szCs w:val="32"/>
          <w:highlight w:val="none"/>
          <w:lang w:eastAsia="zh-CN"/>
        </w:rPr>
        <w:t>跨境电商交易会事宜。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拜访中国驻泰国大使馆经商处</w:t>
      </w:r>
      <w:r>
        <w:rPr>
          <w:rFonts w:hint="eastAsia" w:eastAsia="仿宋_GB2312" w:cs="Times New Roman"/>
          <w:sz w:val="32"/>
          <w:szCs w:val="32"/>
          <w:highlight w:val="none"/>
          <w:lang w:eastAsia="zh-CN"/>
        </w:rPr>
        <w:t>，密切与使馆联系，听取与泰国加强电商等领域经贸合作的意见建议。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val="en-US" w:eastAsia="zh-CN"/>
        </w:rPr>
        <w:t>5.参加</w:t>
      </w:r>
      <w:r>
        <w:rPr>
          <w:rFonts w:hint="eastAsia" w:ascii="Times New Roman" w:hAnsi="Times New Roman" w:eastAsia="仿宋_GB2312" w:cs="Times New Roman"/>
          <w:color w:val="auto"/>
          <w:sz w:val="32"/>
          <w:szCs w:val="32"/>
          <w:lang w:eastAsia="zh-CN"/>
        </w:rPr>
        <w:t>“2025泰国跨境电商选品展览会”，考察泰国及东盟电商市场，拓展跨境销售渠道，提升中国品牌国际影响力，促进电商选品合作与贸易对接</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lang w:eastAsia="zh-CN"/>
        </w:rPr>
      </w:pPr>
      <w:r>
        <w:rPr>
          <w:rFonts w:hint="eastAsia" w:eastAsia="仿宋_GB2312" w:cs="Times New Roman"/>
          <w:sz w:val="32"/>
          <w:szCs w:val="32"/>
          <w:highlight w:val="none"/>
          <w:lang w:val="en-US" w:eastAsia="zh-CN"/>
        </w:rPr>
        <w:t>6.拜访泰国投资促进委员会，</w:t>
      </w:r>
      <w:r>
        <w:rPr>
          <w:rFonts w:hint="eastAsia" w:ascii="Times New Roman" w:hAnsi="Times New Roman" w:eastAsia="仿宋_GB2312" w:cs="Times New Roman"/>
          <w:color w:val="auto"/>
          <w:sz w:val="32"/>
          <w:szCs w:val="32"/>
          <w:lang w:eastAsia="zh-CN"/>
        </w:rPr>
        <w:t>以跨境电商为纽带，推动湖南产业带企业与泰国市场的精准对接，同时为湖南企业开拓东南亚市场提供系统性支持</w:t>
      </w:r>
      <w:r>
        <w:rPr>
          <w:rFonts w:hint="eastAsia"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eastAsia" w:eastAsia="仿宋_GB2312" w:cs="Times New Roman"/>
          <w:color w:val="auto"/>
          <w:sz w:val="32"/>
          <w:szCs w:val="32"/>
          <w:lang w:val="en-US" w:eastAsia="zh-CN"/>
        </w:rPr>
        <w:t>马来西亚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val="en-US" w:eastAsia="zh-CN"/>
        </w:rPr>
        <w:t>1.拜访</w:t>
      </w:r>
      <w:r>
        <w:rPr>
          <w:rFonts w:hint="eastAsia" w:eastAsia="仿宋_GB2312" w:cs="Times New Roman"/>
          <w:sz w:val="32"/>
          <w:szCs w:val="32"/>
          <w:highlight w:val="none"/>
          <w:lang w:eastAsia="zh-CN"/>
        </w:rPr>
        <w:t>马来西亚大使馆。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拜访马来西亚一带一路委员会，深化“一带一路”跨境电商合作</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推动湖南产品出海与供应链合作</w:t>
      </w:r>
      <w:r>
        <w:rPr>
          <w:rFonts w:hint="eastAsia"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3.拜访马来西亚会展局，推动湖南省电商产业和湘品通过“会展+电商”模式出海，开拓东南亚市场。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cs="Times New Roman"/>
          <w:sz w:val="32"/>
          <w:szCs w:val="32"/>
          <w:highlight w:val="none"/>
          <w:lang w:val="en-US" w:eastAsia="zh-CN"/>
        </w:rPr>
        <w:t>4.拜访</w:t>
      </w:r>
      <w:r>
        <w:rPr>
          <w:rFonts w:hint="eastAsia" w:eastAsia="仿宋_GB2312"/>
          <w:sz w:val="32"/>
          <w:szCs w:val="32"/>
          <w:lang w:val="en-US" w:eastAsia="zh-CN"/>
        </w:rPr>
        <w:t>马来西亚跨境电商协会，对接本土化支持和资源，共建湘马跨境电商新通道，推动双方企业供应链互补合作。</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仿宋_GB2312" w:cs="Times New Roman"/>
          <w:color w:val="auto"/>
          <w:sz w:val="32"/>
          <w:szCs w:val="32"/>
          <w:lang w:val="en-US" w:eastAsia="zh-CN"/>
        </w:rPr>
      </w:pPr>
      <w:r>
        <w:rPr>
          <w:rFonts w:hint="eastAsia" w:eastAsia="仿宋_GB2312"/>
          <w:sz w:val="32"/>
          <w:szCs w:val="32"/>
          <w:lang w:val="en-US" w:eastAsia="zh-CN"/>
        </w:rPr>
        <w:t xml:space="preserve"> 5.拜访NCT高裕轩集团，洽谈物流、海外仓等领域合作，探讨通过其优势降低湖南电商企业出海成本及提升物流效率，</w:t>
      </w:r>
      <w:r>
        <w:rPr>
          <w:rFonts w:ascii="Times New Roman" w:hAnsi="Times New Roman" w:eastAsia="仿宋_GB2312" w:cs="Times New Roman"/>
          <w:sz w:val="32"/>
          <w:szCs w:val="32"/>
          <w:highlight w:val="none"/>
          <w:lang w:eastAsia="zh-CN"/>
        </w:rPr>
        <w:t>更好地服务“湘品出海”战略</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lang w:eastAsia="zh-CN"/>
        </w:rPr>
      </w:pPr>
      <w:r>
        <w:rPr>
          <w:rFonts w:hint="default" w:ascii="Times New Roman" w:hAnsi="Times New Roman" w:eastAsia="黑体" w:cs="Times New Roman"/>
          <w:color w:val="auto"/>
          <w:sz w:val="32"/>
          <w:szCs w:val="22"/>
          <w:lang w:eastAsia="zh-CN"/>
        </w:rPr>
        <w:t>三、服务需求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1.协助收集出访团组人员信息，按照外事部门要求办理出境审批、签证等出访相关事项，编制出访手册。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2.根据出访任务，协助与境外机构或单位沟通协调，完成境外邀请函、拜访函、对接需求及有关企业背景材料</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双向传递收发工作等，并根据对接情况制定出访具体行程安排，明确具体活动时间、地点、联络员、活动议程</w:t>
      </w:r>
      <w:r>
        <w:rPr>
          <w:rFonts w:hint="eastAsia"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参加人员等事项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配合收集和准备出访相关材料等。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3.根据出访日程安排，协助境外公务行程衔接，提前预订车（船、机）票、酒店、活动会议室等，做好出访人员食、住、行等后勤保障工作和出访期间的接待等安排。</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kern w:val="2"/>
          <w:sz w:val="32"/>
          <w:szCs w:val="32"/>
          <w:lang w:val="en-US" w:eastAsia="zh-CN" w:bidi="ar-SA"/>
        </w:rPr>
        <w:t>提供全流程翻译支持，确保公务洽谈与活动交流顺畅。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出访结束后，协助做好证件归还、经费结算等</w:t>
      </w:r>
      <w:r>
        <w:rPr>
          <w:rFonts w:hint="eastAsia" w:eastAsia="仿宋_GB2312" w:cs="Times New Roman"/>
          <w:color w:val="auto"/>
          <w:sz w:val="32"/>
          <w:szCs w:val="32"/>
          <w:lang w:val="en-US" w:eastAsia="zh-CN"/>
        </w:rPr>
        <w:t>收尾</w:t>
      </w:r>
      <w:r>
        <w:rPr>
          <w:rFonts w:hint="default" w:ascii="Times New Roman" w:hAnsi="Times New Roman" w:eastAsia="仿宋_GB2312" w:cs="Times New Roman"/>
          <w:color w:val="auto"/>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熟悉外事出访相关规定、纪律及最新政策，具备丰富服务经验，能根据采购人需求制定合理出访方案和日程</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 配备至少1名熟悉出境流程、具备境外服务经验的专业人员，提供因公审批、签证、境外接待、活动组织、费用结算等全流程服务，确保出访准备充分、组织有序、服务到位。如工作人员未达要求，采购人有权要求更换</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 服务过程中服从采购人安排，对出访人员信息及企业商业秘密严格保密，未经许可不得泄露，否则依法承担责任</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 具备应对境外突发情况的应急处理能力，提供应急预案及必要支持</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 完成采购人交办的其他出访相关任务。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w:t>
      </w:r>
    </w:p>
    <w:p>
      <w:pPr>
        <w:widowControl/>
        <w:autoSpaceDE/>
        <w:autoSpaceDN/>
        <w:adjustRightInd/>
        <w:ind w:firstLine="560"/>
        <w:jc w:val="center"/>
        <w:rPr>
          <w:rFonts w:ascii="Times New Roman" w:hAnsi="Times New Roman" w:eastAsia="宋体" w:cs="Times New Roman"/>
          <w:sz w:val="21"/>
          <w:szCs w:val="22"/>
          <w:lang w:val="en-US" w:eastAsia="zh-CN" w:bidi="ar-SA"/>
        </w:rPr>
      </w:pPr>
      <w:r>
        <w:rPr>
          <w:rFonts w:ascii="Times New Roman" w:hAnsi="Times New Roman" w:eastAsia="宋体" w:cs="Times New Roman"/>
          <w:b/>
          <w:bCs/>
          <w:sz w:val="28"/>
          <w:szCs w:val="28"/>
        </w:rPr>
        <w:t>评审因素和标准</w:t>
      </w:r>
    </w:p>
    <w:tbl>
      <w:tblPr>
        <w:tblStyle w:val="7"/>
        <w:tblW w:w="5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098"/>
        <w:gridCol w:w="666"/>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blHeader/>
          <w:jc w:val="center"/>
        </w:trPr>
        <w:tc>
          <w:tcPr>
            <w:tcW w:w="112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评审因素</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计分因素</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分值</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00" w:lineRule="exact"/>
              <w:ind w:firstLine="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blHeader/>
          <w:jc w:val="center"/>
        </w:trPr>
        <w:tc>
          <w:tcPr>
            <w:tcW w:w="1122" w:type="dxa"/>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价格部分</w:t>
            </w:r>
          </w:p>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（30分）</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投标报价</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1、满足采购文件要求且报价最低的供应商的价格为基准价，其价格分为满分30分。其它供应商的价格分统一按照下列公式计算：报价得分=（基准价/投标报价）×30</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2、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blHeader/>
          <w:jc w:val="center"/>
        </w:trPr>
        <w:tc>
          <w:tcPr>
            <w:tcW w:w="1122" w:type="dxa"/>
            <w:vMerge w:val="restart"/>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技术部分（</w:t>
            </w:r>
            <w:r>
              <w:rPr>
                <w:rFonts w:ascii="Times New Roman" w:hAnsi="Times New Roman" w:eastAsia="宋体" w:cs="Times New Roman"/>
                <w:sz w:val="21"/>
                <w:szCs w:val="21"/>
                <w:lang w:val="en-US" w:eastAsia="zh-CN"/>
              </w:rPr>
              <w:t>45</w:t>
            </w:r>
            <w:r>
              <w:rPr>
                <w:rFonts w:ascii="Times New Roman" w:hAnsi="Times New Roman" w:eastAsia="宋体" w:cs="Times New Roman"/>
                <w:sz w:val="21"/>
                <w:szCs w:val="21"/>
              </w:rPr>
              <w:t>）</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服务方案</w:t>
            </w:r>
          </w:p>
        </w:tc>
        <w:tc>
          <w:tcPr>
            <w:tcW w:w="686" w:type="dxa"/>
            <w:tcBorders>
              <w:top w:val="single" w:color="auto" w:sz="4" w:space="0"/>
              <w:left w:val="single" w:color="auto" w:sz="4" w:space="0"/>
              <w:right w:val="single" w:color="auto" w:sz="4" w:space="0"/>
              <w:tl2br w:val="nil"/>
              <w:tr2bl w:val="nil"/>
            </w:tcBorders>
            <w:noWrap w:val="0"/>
            <w:vAlign w:val="center"/>
          </w:tcPr>
          <w:p>
            <w:pPr>
              <w:spacing w:line="240" w:lineRule="auto"/>
              <w:ind w:firstLine="0"/>
              <w:jc w:val="center"/>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35</w:t>
            </w:r>
          </w:p>
        </w:tc>
        <w:tc>
          <w:tcPr>
            <w:tcW w:w="669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根据供应商为本次出访活动制订的出访服务方案，包括但不限于：①梳理工作和服务流程；②对访前准备、访中衔接、访后收尾等各环节开展服务方案制订；③出访行程安排及相关材料准备；④经费预算安排；⑤工作措施。</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t>要素齐全，符合采购要求，梳理工作和服务流程内容细致、合理、操作性强，对访前准备、访中衔接、访后收尾等各环节开展服务方案制订详细、具体细化，出访行程安排合理，活动方案制定完善，经费预算安排科学合理，工作措施有力，能确保出访活动准备充分，组织有力，服务热情周到，计35分。每缺少一项要素的扣7分；每有一处内容存在错误或缺陷的扣3分，扣完为止。</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不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textAlignment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0"/>
                <w:sz w:val="21"/>
                <w:szCs w:val="21"/>
                <w:highlight w:val="none"/>
                <w:lang w:eastAsia="zh-CN"/>
              </w:rPr>
              <w:t>工作</w:t>
            </w:r>
            <w:r>
              <w:rPr>
                <w:rFonts w:ascii="Times New Roman" w:hAnsi="Times New Roman" w:eastAsia="宋体" w:cs="Times New Roman"/>
                <w:color w:val="000000"/>
                <w:kern w:val="0"/>
                <w:sz w:val="21"/>
                <w:szCs w:val="21"/>
                <w:highlight w:val="none"/>
              </w:rPr>
              <w:t>计划安排</w:t>
            </w:r>
          </w:p>
        </w:tc>
        <w:tc>
          <w:tcPr>
            <w:tcW w:w="686" w:type="dxa"/>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textAlignment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auto"/>
                <w:sz w:val="21"/>
                <w:szCs w:val="21"/>
                <w:highlight w:val="none"/>
                <w:lang w:val="en-US" w:eastAsia="zh-CN"/>
              </w:rPr>
              <w:t>10</w:t>
            </w:r>
          </w:p>
        </w:tc>
        <w:tc>
          <w:tcPr>
            <w:tcW w:w="669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zh-CN" w:eastAsia="zh-CN"/>
              </w:rPr>
              <w:t>根据供应商针对本项目提供的工作计划安排，</w:t>
            </w:r>
            <w:r>
              <w:rPr>
                <w:rFonts w:ascii="Times New Roman" w:hAnsi="Times New Roman" w:eastAsia="宋体" w:cs="Times New Roman"/>
                <w:sz w:val="21"/>
                <w:szCs w:val="21"/>
                <w:lang w:val="en-US" w:eastAsia="zh-CN"/>
              </w:rPr>
              <w:t>包括但不限于：①</w:t>
            </w:r>
            <w:r>
              <w:rPr>
                <w:rFonts w:ascii="Times New Roman" w:hAnsi="Times New Roman" w:eastAsia="宋体" w:cs="Times New Roman"/>
                <w:sz w:val="21"/>
                <w:szCs w:val="21"/>
                <w:lang w:val="zh-CN" w:eastAsia="zh-CN"/>
              </w:rPr>
              <w:t>整体工作进度计划</w:t>
            </w:r>
            <w:r>
              <w:rPr>
                <w:rFonts w:ascii="Times New Roman" w:hAnsi="Times New Roman" w:eastAsia="宋体" w:cs="Times New Roman"/>
                <w:sz w:val="21"/>
                <w:szCs w:val="21"/>
                <w:lang w:val="en-US" w:eastAsia="zh-CN"/>
              </w:rPr>
              <w:t>及</w:t>
            </w:r>
            <w:r>
              <w:rPr>
                <w:rFonts w:ascii="Times New Roman" w:hAnsi="Times New Roman" w:eastAsia="宋体" w:cs="Times New Roman"/>
                <w:sz w:val="21"/>
                <w:szCs w:val="21"/>
                <w:lang w:val="zh-CN" w:eastAsia="zh-CN"/>
              </w:rPr>
              <w:t>任务划分；②各个时间节点的设置把握。</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整体工作进度计划安排详细，各个时间节点的设置把握准确，任务划分合理的计</w:t>
            </w:r>
            <w:r>
              <w:rPr>
                <w:rFonts w:ascii="Times New Roman" w:hAnsi="Times New Roman" w:eastAsia="宋体" w:cs="Times New Roman"/>
                <w:sz w:val="21"/>
                <w:szCs w:val="21"/>
                <w:lang w:val="en-US" w:eastAsia="zh-CN"/>
              </w:rPr>
              <w:t>10分。每缺少一项要素的扣5分；每有一处内容存在错误或缺陷的扣2分，扣完为止。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blHeader/>
          <w:jc w:val="center"/>
        </w:trPr>
        <w:tc>
          <w:tcPr>
            <w:tcW w:w="1122" w:type="dxa"/>
            <w:vMerge w:val="restart"/>
            <w:tcBorders>
              <w:top w:val="single" w:color="auto" w:sz="4" w:space="0"/>
              <w:left w:val="single" w:color="auto" w:sz="4" w:space="0"/>
              <w:right w:val="single" w:color="auto" w:sz="4" w:space="0"/>
              <w:tl2br w:val="nil"/>
              <w:tr2bl w:val="nil"/>
            </w:tcBorders>
            <w:noWrap w:val="0"/>
            <w:vAlign w:val="center"/>
          </w:tcPr>
          <w:p>
            <w:pPr>
              <w:widowControl/>
              <w:spacing w:line="24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商务部分（2</w:t>
            </w:r>
            <w:r>
              <w:rPr>
                <w:rFonts w:ascii="Times New Roman" w:hAnsi="Times New Roman" w:eastAsia="宋体" w:cs="Times New Roman"/>
                <w:sz w:val="21"/>
                <w:szCs w:val="21"/>
                <w:lang w:val="en-US" w:eastAsia="zh-CN"/>
              </w:rPr>
              <w:t>5</w:t>
            </w:r>
            <w:r>
              <w:rPr>
                <w:rFonts w:ascii="Times New Roman" w:hAnsi="Times New Roman" w:eastAsia="宋体" w:cs="Times New Roman"/>
                <w:sz w:val="21"/>
                <w:szCs w:val="21"/>
              </w:rPr>
              <w:t>分）</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合理化建议</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eastAsia="zh-CN"/>
              </w:rPr>
            </w:pPr>
            <w:r>
              <w:rPr>
                <w:rFonts w:ascii="Times New Roman" w:hAnsi="Times New Roman" w:eastAsia="宋体" w:cs="Times New Roman"/>
                <w:sz w:val="21"/>
                <w:szCs w:val="24"/>
                <w:lang w:val="en-US" w:eastAsia="zh-CN"/>
              </w:rPr>
              <w:t>3</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结合本项目实际情况，供应商提出对当前工作中的多发、复杂、极端问题如何合理应对提出建议；每提供1条可行的合理化建议计</w:t>
            </w:r>
            <w:r>
              <w:rPr>
                <w:rFonts w:ascii="Times New Roman" w:hAnsi="Times New Roman" w:eastAsia="宋体" w:cs="Times New Roman"/>
                <w:sz w:val="21"/>
                <w:szCs w:val="21"/>
                <w:lang w:val="en-US" w:eastAsia="zh-CN"/>
              </w:rPr>
              <w:t>1</w:t>
            </w:r>
            <w:r>
              <w:rPr>
                <w:rFonts w:ascii="Times New Roman" w:hAnsi="Times New Roman" w:eastAsia="宋体" w:cs="Times New Roman"/>
                <w:sz w:val="21"/>
                <w:szCs w:val="21"/>
                <w:lang w:val="zh-CN" w:eastAsia="zh-CN"/>
              </w:rPr>
              <w:t>分，最多计</w:t>
            </w:r>
            <w:r>
              <w:rPr>
                <w:rFonts w:ascii="Times New Roman" w:hAnsi="Times New Roman" w:eastAsia="宋体" w:cs="Times New Roman"/>
                <w:sz w:val="21"/>
                <w:szCs w:val="21"/>
                <w:lang w:val="en-US" w:eastAsia="zh-CN"/>
              </w:rPr>
              <w:t>3</w:t>
            </w:r>
            <w:r>
              <w:rPr>
                <w:rFonts w:ascii="Times New Roman" w:hAnsi="Times New Roman" w:eastAsia="宋体" w:cs="Times New Roman"/>
                <w:sz w:val="21"/>
                <w:szCs w:val="21"/>
                <w:lang w:val="zh-CN" w:eastAsia="zh-CN"/>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val="en-US" w:eastAsia="zh-CN"/>
              </w:rPr>
            </w:pPr>
            <w:r>
              <w:rPr>
                <w:rFonts w:ascii="Times New Roman" w:hAnsi="Times New Roman" w:eastAsia="宋体" w:cs="Times New Roman"/>
                <w:sz w:val="21"/>
                <w:szCs w:val="24"/>
                <w:lang w:val="en-US" w:eastAsia="zh-CN"/>
              </w:rPr>
              <w:t>技术力量</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lang w:val="en-US" w:eastAsia="zh-CN"/>
              </w:rPr>
            </w:pPr>
            <w:r>
              <w:rPr>
                <w:rFonts w:ascii="Times New Roman" w:hAnsi="Times New Roman" w:eastAsia="宋体" w:cs="Times New Roman"/>
                <w:sz w:val="21"/>
                <w:szCs w:val="24"/>
                <w:lang w:val="en-US" w:eastAsia="zh-CN"/>
              </w:rPr>
              <w:t>10</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rPr>
                <w:rFonts w:ascii="Times New Roman" w:hAnsi="Times New Roman" w:eastAsia="宋体" w:cs="Times New Roman"/>
                <w:sz w:val="21"/>
                <w:szCs w:val="21"/>
                <w:highlight w:val="none"/>
                <w:lang w:val="en-US" w:eastAsia="zh-CN"/>
              </w:rPr>
            </w:pPr>
            <w:r>
              <w:rPr>
                <w:rFonts w:ascii="Times New Roman" w:hAnsi="Times New Roman" w:eastAsia="宋体" w:cs="Times New Roman"/>
                <w:sz w:val="21"/>
                <w:szCs w:val="21"/>
                <w:highlight w:val="none"/>
                <w:lang w:val="en-US" w:eastAsia="zh-CN"/>
              </w:rPr>
              <w:t>供应商为本项目拟派的服务团队人员中，有熟悉各项出境流程、具备类似境外服务项目经验的，每人计2分，满分10分。</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highlight w:val="none"/>
                <w:lang w:val="en-US" w:eastAsia="zh-CN"/>
              </w:rPr>
              <w:t>注：提供相关证明材料并加盖公章，否则不计分。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blHeader/>
          <w:jc w:val="center"/>
        </w:trPr>
        <w:tc>
          <w:tcPr>
            <w:tcW w:w="1122" w:type="dxa"/>
            <w:vMerge w:val="continue"/>
            <w:tcBorders>
              <w:left w:val="single" w:color="auto" w:sz="4" w:space="0"/>
              <w:right w:val="single" w:color="auto" w:sz="4" w:space="0"/>
              <w:tl2br w:val="nil"/>
              <w:tr2bl w:val="nil"/>
            </w:tcBorders>
            <w:noWrap w:val="0"/>
            <w:vAlign w:val="center"/>
          </w:tcP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业绩</w:t>
            </w:r>
          </w:p>
        </w:tc>
        <w:tc>
          <w:tcPr>
            <w:tcW w:w="68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40" w:lineRule="auto"/>
              <w:ind w:firstLine="0"/>
              <w:jc w:val="center"/>
              <w:rPr>
                <w:rFonts w:ascii="Times New Roman" w:hAnsi="Times New Roman" w:eastAsia="宋体" w:cs="Times New Roman"/>
                <w:sz w:val="21"/>
                <w:szCs w:val="24"/>
              </w:rPr>
            </w:pPr>
            <w:r>
              <w:rPr>
                <w:rFonts w:ascii="Times New Roman" w:hAnsi="Times New Roman" w:eastAsia="宋体" w:cs="Times New Roman"/>
                <w:sz w:val="21"/>
                <w:szCs w:val="24"/>
              </w:rPr>
              <w:t>1</w:t>
            </w:r>
            <w:r>
              <w:rPr>
                <w:rFonts w:ascii="Times New Roman" w:hAnsi="Times New Roman" w:eastAsia="宋体" w:cs="Times New Roman"/>
                <w:sz w:val="21"/>
                <w:szCs w:val="24"/>
                <w:lang w:val="en-US" w:eastAsia="zh-CN"/>
              </w:rPr>
              <w:t>2</w:t>
            </w:r>
          </w:p>
        </w:tc>
        <w:tc>
          <w:tcPr>
            <w:tcW w:w="669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zh-CN" w:eastAsia="zh-CN"/>
              </w:rPr>
            </w:pPr>
            <w:r>
              <w:rPr>
                <w:rFonts w:ascii="Times New Roman" w:hAnsi="Times New Roman" w:eastAsia="宋体" w:cs="Times New Roman"/>
                <w:sz w:val="21"/>
                <w:szCs w:val="21"/>
                <w:lang w:val="zh-CN" w:eastAsia="zh-CN"/>
              </w:rPr>
              <w:t>供应商</w:t>
            </w:r>
            <w:r>
              <w:rPr>
                <w:rFonts w:ascii="Times New Roman" w:hAnsi="Times New Roman" w:eastAsia="宋体" w:cs="Times New Roman"/>
                <w:sz w:val="21"/>
                <w:szCs w:val="21"/>
                <w:lang w:val="en-US" w:eastAsia="zh-CN"/>
              </w:rPr>
              <w:t>自2024年1月1日（以合同签订时间为准）起至今</w:t>
            </w:r>
            <w:r>
              <w:rPr>
                <w:rFonts w:ascii="Times New Roman" w:hAnsi="Times New Roman" w:eastAsia="宋体" w:cs="Times New Roman"/>
                <w:sz w:val="21"/>
                <w:szCs w:val="21"/>
                <w:lang w:val="zh-CN" w:eastAsia="zh-CN"/>
              </w:rPr>
              <w:t>，具有类似项目业绩的，每项业绩计</w:t>
            </w:r>
            <w:r>
              <w:rPr>
                <w:rFonts w:ascii="Times New Roman" w:hAnsi="Times New Roman" w:eastAsia="宋体" w:cs="Times New Roman"/>
                <w:sz w:val="21"/>
                <w:szCs w:val="21"/>
                <w:lang w:val="en-US" w:eastAsia="zh-CN"/>
              </w:rPr>
              <w:t>3</w:t>
            </w:r>
            <w:r>
              <w:rPr>
                <w:rFonts w:ascii="Times New Roman" w:hAnsi="Times New Roman" w:eastAsia="宋体" w:cs="Times New Roman"/>
                <w:sz w:val="21"/>
                <w:szCs w:val="21"/>
                <w:lang w:val="zh-CN" w:eastAsia="zh-CN"/>
              </w:rPr>
              <w:t>分，计满</w:t>
            </w:r>
            <w:r>
              <w:rPr>
                <w:rFonts w:ascii="Times New Roman" w:hAnsi="Times New Roman" w:eastAsia="宋体" w:cs="Times New Roman"/>
                <w:sz w:val="21"/>
                <w:szCs w:val="21"/>
                <w:lang w:val="en-US" w:eastAsia="zh-CN"/>
              </w:rPr>
              <w:t>12</w:t>
            </w:r>
            <w:r>
              <w:rPr>
                <w:rFonts w:ascii="Times New Roman" w:hAnsi="Times New Roman" w:eastAsia="宋体" w:cs="Times New Roman"/>
                <w:sz w:val="21"/>
                <w:szCs w:val="21"/>
                <w:lang w:val="zh-CN" w:eastAsia="zh-CN"/>
              </w:rPr>
              <w:t>分为止。</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zh-CN" w:eastAsia="zh-CN"/>
              </w:rPr>
              <w:t>注：提供相应的业绩合同复印件</w:t>
            </w:r>
            <w:r>
              <w:rPr>
                <w:rFonts w:ascii="Times New Roman" w:hAnsi="Times New Roman" w:eastAsia="宋体" w:cs="Times New Roman"/>
                <w:sz w:val="21"/>
                <w:szCs w:val="21"/>
                <w:lang w:val="en-US" w:eastAsia="zh-CN"/>
              </w:rPr>
              <w:t>并加盖供应商公章，</w:t>
            </w:r>
            <w:r>
              <w:rPr>
                <w:rFonts w:ascii="Times New Roman" w:hAnsi="Times New Roman" w:eastAsia="宋体" w:cs="Times New Roman"/>
                <w:sz w:val="21"/>
                <w:szCs w:val="21"/>
                <w:lang w:val="zh-CN" w:eastAsia="zh-CN"/>
              </w:rPr>
              <w:t>否则不计分。</w:t>
            </w:r>
          </w:p>
        </w:tc>
      </w:tr>
    </w:tbl>
    <w:p>
      <w:pPr>
        <w:pageBreakBefore w:val="0"/>
        <w:kinsoku/>
        <w:wordWrap/>
        <w:overflowPunct/>
        <w:topLinePunct w:val="0"/>
        <w:autoSpaceDE/>
        <w:autoSpaceDN/>
        <w:bidi w:val="0"/>
        <w:spacing w:line="580" w:lineRule="exact"/>
        <w:ind w:firstLine="420" w:firstLineChars="200"/>
        <w:textAlignment w:val="auto"/>
        <w:rPr>
          <w:rFonts w:hint="default" w:ascii="Times New Roman" w:hAnsi="Times New Roman" w:cs="Times New Roman"/>
        </w:rPr>
      </w:pP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F7BFB814"/>
    <w:rsid w:val="050414F1"/>
    <w:rsid w:val="11895257"/>
    <w:rsid w:val="158AD2D6"/>
    <w:rsid w:val="16504596"/>
    <w:rsid w:val="17F5B207"/>
    <w:rsid w:val="19EFF81D"/>
    <w:rsid w:val="1DF47EFC"/>
    <w:rsid w:val="1F5F972A"/>
    <w:rsid w:val="1FEA4634"/>
    <w:rsid w:val="20631369"/>
    <w:rsid w:val="26FA619E"/>
    <w:rsid w:val="33163F32"/>
    <w:rsid w:val="34B34216"/>
    <w:rsid w:val="35B94A0A"/>
    <w:rsid w:val="38251B3D"/>
    <w:rsid w:val="38451629"/>
    <w:rsid w:val="39E8404C"/>
    <w:rsid w:val="39FFED71"/>
    <w:rsid w:val="3B7F6CFB"/>
    <w:rsid w:val="3C376EB8"/>
    <w:rsid w:val="3FDFA20A"/>
    <w:rsid w:val="429D65A5"/>
    <w:rsid w:val="42DE705A"/>
    <w:rsid w:val="47DFEC6E"/>
    <w:rsid w:val="505A4A62"/>
    <w:rsid w:val="51491D32"/>
    <w:rsid w:val="51A52CE0"/>
    <w:rsid w:val="525B13B2"/>
    <w:rsid w:val="559C2433"/>
    <w:rsid w:val="55F39D78"/>
    <w:rsid w:val="56813C13"/>
    <w:rsid w:val="56903ECB"/>
    <w:rsid w:val="576FB9A3"/>
    <w:rsid w:val="57C53DAF"/>
    <w:rsid w:val="59B33A65"/>
    <w:rsid w:val="5A832F7D"/>
    <w:rsid w:val="5BEF61E0"/>
    <w:rsid w:val="5CD66444"/>
    <w:rsid w:val="5E9A2DDA"/>
    <w:rsid w:val="5FF730CE"/>
    <w:rsid w:val="5FFD947C"/>
    <w:rsid w:val="63C3F5BC"/>
    <w:rsid w:val="63CD06A0"/>
    <w:rsid w:val="6713B69F"/>
    <w:rsid w:val="687F1689"/>
    <w:rsid w:val="69EFED43"/>
    <w:rsid w:val="6A084668"/>
    <w:rsid w:val="6B4B624F"/>
    <w:rsid w:val="6C3B379E"/>
    <w:rsid w:val="6CBA18DE"/>
    <w:rsid w:val="6CEBE875"/>
    <w:rsid w:val="6DDC6519"/>
    <w:rsid w:val="6F3FE6F3"/>
    <w:rsid w:val="6FDF4F9C"/>
    <w:rsid w:val="707FD741"/>
    <w:rsid w:val="74EF44D4"/>
    <w:rsid w:val="757334F0"/>
    <w:rsid w:val="76DA68DF"/>
    <w:rsid w:val="76F5E1CE"/>
    <w:rsid w:val="780B1240"/>
    <w:rsid w:val="7B1C7A64"/>
    <w:rsid w:val="7BDFD795"/>
    <w:rsid w:val="7C718945"/>
    <w:rsid w:val="7F77E3E4"/>
    <w:rsid w:val="7F7FC9C7"/>
    <w:rsid w:val="7FBF517E"/>
    <w:rsid w:val="7FC7E21B"/>
    <w:rsid w:val="7FD6AF69"/>
    <w:rsid w:val="7FF52248"/>
    <w:rsid w:val="7FFAFEB1"/>
    <w:rsid w:val="82DD8DBB"/>
    <w:rsid w:val="AE7F16A5"/>
    <w:rsid w:val="BB398BD5"/>
    <w:rsid w:val="BDDE4EC2"/>
    <w:rsid w:val="C3CCCEF5"/>
    <w:rsid w:val="C79B17AF"/>
    <w:rsid w:val="C7E90170"/>
    <w:rsid w:val="CDB6EB46"/>
    <w:rsid w:val="DBBF942A"/>
    <w:rsid w:val="DDF34638"/>
    <w:rsid w:val="DF77D03C"/>
    <w:rsid w:val="DF97FC0F"/>
    <w:rsid w:val="E6D66D04"/>
    <w:rsid w:val="EAFF9BB0"/>
    <w:rsid w:val="EBF95ECE"/>
    <w:rsid w:val="ECB7E657"/>
    <w:rsid w:val="EF17F55F"/>
    <w:rsid w:val="EF1C8536"/>
    <w:rsid w:val="EFFD397B"/>
    <w:rsid w:val="F5AE5F5C"/>
    <w:rsid w:val="F7BFB814"/>
    <w:rsid w:val="F7FF73AE"/>
    <w:rsid w:val="F7FFF76A"/>
    <w:rsid w:val="F9ED36C8"/>
    <w:rsid w:val="FAF75083"/>
    <w:rsid w:val="FB778A96"/>
    <w:rsid w:val="FBFF4CC8"/>
    <w:rsid w:val="FDF72A90"/>
    <w:rsid w:val="FF5FCB04"/>
    <w:rsid w:val="FF7D095F"/>
    <w:rsid w:val="FFED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Lines="0" w:beforeAutospacing="0" w:afterLines="0" w:afterAutospacing="0" w:line="578" w:lineRule="exact"/>
      <w:outlineLvl w:val="3"/>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4">
    <w:name w:val="Body Text"/>
    <w:basedOn w:val="1"/>
    <w:next w:val="1"/>
    <w:qFormat/>
    <w:uiPriority w:val="99"/>
    <w:pPr>
      <w:ind w:left="120"/>
    </w:pPr>
    <w:rPr>
      <w:sz w:val="28"/>
      <w:szCs w:val="2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UserStyle_3 Char"/>
    <w:basedOn w:val="8"/>
    <w:link w:val="10"/>
    <w:qFormat/>
    <w:uiPriority w:val="0"/>
    <w:rPr>
      <w:rFonts w:ascii="Times New Roman" w:hAnsi="Times New Roman" w:eastAsia="宋体" w:cs="Times New Roman"/>
      <w:kern w:val="2"/>
      <w:sz w:val="21"/>
      <w:szCs w:val="24"/>
      <w:lang w:val="en-US" w:eastAsia="zh-CN" w:bidi="ar-SA"/>
    </w:rPr>
  </w:style>
  <w:style w:type="paragraph" w:customStyle="1" w:styleId="10">
    <w:name w:val="UserStyle_3"/>
    <w:next w:val="1"/>
    <w:link w:val="9"/>
    <w:qFormat/>
    <w:uiPriority w:val="0"/>
    <w:pPr>
      <w:snapToGrid w:val="0"/>
      <w:spacing w:before="50" w:after="50"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1529</Words>
  <Characters>1597</Characters>
  <Lines>0</Lines>
  <Paragraphs>0</Paragraphs>
  <TotalTime>31</TotalTime>
  <ScaleCrop>false</ScaleCrop>
  <LinksUpToDate>false</LinksUpToDate>
  <CharactersWithSpaces>1599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2024-12-17T02:26:00Z</dcterms:created>
  <dc:creator>xjkp</dc:creator>
  <cp:lastModifiedBy>xjkp</cp:lastModifiedBy>
  <cp:lastPrinted>2025-09-04T00:04:00Z</cp:lastPrinted>
  <dcterms:modified xsi:type="dcterms:W3CDTF">2025-09-04T08:40:11Z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eyJoZGlkIjoiZTRkNTU3NjQyNTdjYjEzZGZkMTZiNzlhMWM5M2NlNzciLCJ1c2VySWQiOiIxNDk5OTYwNzYwIn0=</vt:lpwstr>
  </property>
  <property fmtid="{D5CDD505-2E9C-101B-9397-08002B2CF9AE}" pid="4" name="ICV">
    <vt:lpwstr>2A48B2976D694F05A8A87546FCDB8F71_13</vt:lpwstr>
  </property>
</Properties>
</file>