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8792B">
      <w:pP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 xml:space="preserve"> </w:t>
      </w:r>
    </w:p>
    <w:p w14:paraId="621DE35E">
      <w:pPr>
        <w:pStyle w:val="35"/>
        <w:rPr>
          <w:rFonts w:ascii="宋体" w:hAnsi="宋体" w:eastAsia="宋体" w:cs="宋体"/>
          <w:color w:val="auto"/>
          <w:sz w:val="32"/>
          <w:szCs w:val="32"/>
          <w:highlight w:val="none"/>
        </w:rPr>
      </w:pPr>
    </w:p>
    <w:p w14:paraId="43B3FE97">
      <w:pPr>
        <w:pStyle w:val="35"/>
        <w:rPr>
          <w:rFonts w:ascii="宋体" w:hAnsi="宋体" w:eastAsia="宋体" w:cs="宋体"/>
          <w:color w:val="auto"/>
          <w:sz w:val="32"/>
          <w:szCs w:val="32"/>
          <w:highlight w:val="none"/>
        </w:rPr>
      </w:pPr>
    </w:p>
    <w:p w14:paraId="33E161CB">
      <w:pPr>
        <w:spacing w:beforeLines="100"/>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竞争性磋商文件</w:t>
      </w:r>
    </w:p>
    <w:p w14:paraId="1FCA698C">
      <w:pPr>
        <w:spacing w:beforeLines="100"/>
        <w:rPr>
          <w:rFonts w:ascii="宋体" w:hAnsi="宋体" w:cs="宋体"/>
          <w:b/>
          <w:bCs/>
          <w:color w:val="auto"/>
          <w:sz w:val="84"/>
          <w:szCs w:val="84"/>
          <w:highlight w:val="none"/>
        </w:rPr>
      </w:pPr>
    </w:p>
    <w:p w14:paraId="0AB68021">
      <w:pPr>
        <w:pStyle w:val="35"/>
        <w:rPr>
          <w:rFonts w:ascii="宋体" w:hAnsi="宋体" w:eastAsia="宋体" w:cs="宋体"/>
          <w:color w:val="auto"/>
          <w:highlight w:val="none"/>
        </w:rPr>
      </w:pPr>
    </w:p>
    <w:p w14:paraId="4184D6BC">
      <w:pPr>
        <w:pStyle w:val="35"/>
        <w:rPr>
          <w:rFonts w:ascii="宋体" w:hAnsi="宋体" w:eastAsia="宋体" w:cs="宋体"/>
          <w:color w:val="auto"/>
          <w:highlight w:val="none"/>
        </w:rPr>
      </w:pPr>
    </w:p>
    <w:p w14:paraId="03ACC796">
      <w:pPr>
        <w:pStyle w:val="35"/>
        <w:rPr>
          <w:rFonts w:ascii="宋体" w:hAnsi="宋体" w:eastAsia="宋体" w:cs="宋体"/>
          <w:color w:val="auto"/>
          <w:highlight w:val="none"/>
        </w:rPr>
      </w:pPr>
    </w:p>
    <w:p w14:paraId="6E63D451">
      <w:pPr>
        <w:pStyle w:val="35"/>
        <w:rPr>
          <w:rFonts w:ascii="宋体" w:hAnsi="宋体" w:eastAsia="宋体" w:cs="宋体"/>
          <w:color w:val="auto"/>
          <w:highlight w:val="none"/>
        </w:rPr>
      </w:pPr>
    </w:p>
    <w:p w14:paraId="05B3101E">
      <w:pPr>
        <w:pStyle w:val="35"/>
        <w:rPr>
          <w:rFonts w:ascii="宋体" w:hAnsi="宋体" w:eastAsia="宋体" w:cs="宋体"/>
          <w:color w:val="auto"/>
          <w:highlight w:val="none"/>
        </w:rPr>
      </w:pPr>
    </w:p>
    <w:p w14:paraId="22B9C752">
      <w:pPr>
        <w:spacing w:line="480" w:lineRule="auto"/>
        <w:ind w:left="3145" w:leftChars="704" w:hanging="1667" w:hangingChars="556"/>
        <w:jc w:val="left"/>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eastAsia="zh-CN"/>
        </w:rPr>
        <w:t>中非经贸博览会走进进博会专场推介会会务服务项目</w:t>
      </w:r>
    </w:p>
    <w:p w14:paraId="10C5EB0D">
      <w:pPr>
        <w:spacing w:line="480" w:lineRule="auto"/>
        <w:ind w:left="3145" w:leftChars="704" w:hanging="1667" w:hangingChars="556"/>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 购 人：</w:t>
      </w:r>
      <w:bookmarkStart w:id="0" w:name="OLE_LINK3"/>
      <w:bookmarkStart w:id="1" w:name="OLE_LINK4"/>
      <w:r>
        <w:rPr>
          <w:rFonts w:hint="eastAsia" w:ascii="宋体" w:hAnsi="宋体" w:cs="宋体"/>
          <w:b/>
          <w:bCs/>
          <w:color w:val="auto"/>
          <w:sz w:val="30"/>
          <w:szCs w:val="30"/>
          <w:highlight w:val="none"/>
        </w:rPr>
        <w:t>湖南省商务厅</w:t>
      </w:r>
      <w:bookmarkEnd w:id="0"/>
    </w:p>
    <w:bookmarkEnd w:id="1"/>
    <w:p w14:paraId="1BFE38E0">
      <w:pPr>
        <w:spacing w:line="480" w:lineRule="auto"/>
        <w:ind w:left="3145" w:leftChars="704" w:hanging="1667" w:hangingChars="556"/>
        <w:jc w:val="left"/>
        <w:rPr>
          <w:rFonts w:hint="eastAsia" w:ascii="宋体" w:hAnsi="宋体" w:cs="宋体"/>
          <w:b/>
          <w:bCs/>
          <w:color w:val="auto"/>
          <w:sz w:val="30"/>
          <w:szCs w:val="30"/>
          <w:highlight w:val="none"/>
          <w:lang w:val="en-US" w:eastAsia="zh-CN"/>
        </w:rPr>
      </w:pPr>
      <w:r>
        <w:rPr>
          <w:rFonts w:hint="eastAsia" w:ascii="宋体" w:hAnsi="宋体" w:cs="宋体"/>
          <w:b/>
          <w:bCs/>
          <w:color w:val="auto"/>
          <w:sz w:val="30"/>
          <w:szCs w:val="30"/>
          <w:highlight w:val="none"/>
        </w:rPr>
        <w:t>委托代理编号：</w:t>
      </w:r>
      <w:r>
        <w:rPr>
          <w:rFonts w:hint="eastAsia" w:ascii="宋体" w:hAnsi="宋体" w:cs="宋体"/>
          <w:b/>
          <w:bCs/>
          <w:color w:val="auto"/>
          <w:sz w:val="30"/>
          <w:szCs w:val="30"/>
          <w:highlight w:val="none"/>
          <w:lang w:eastAsia="zh-CN"/>
        </w:rPr>
        <w:t>2025-TZ940</w:t>
      </w:r>
    </w:p>
    <w:p w14:paraId="6FCA4167">
      <w:pPr>
        <w:spacing w:line="480" w:lineRule="auto"/>
        <w:ind w:left="3145" w:leftChars="704" w:hanging="1667" w:hangingChars="556"/>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采购代理机构：湖南天舟招标代理有限公司</w:t>
      </w:r>
    </w:p>
    <w:p w14:paraId="5928919C">
      <w:pPr>
        <w:ind w:firstLine="1944" w:firstLineChars="648"/>
        <w:rPr>
          <w:rFonts w:ascii="宋体" w:hAnsi="宋体" w:cs="宋体"/>
          <w:b/>
          <w:bCs/>
          <w:color w:val="auto"/>
          <w:sz w:val="30"/>
          <w:szCs w:val="30"/>
          <w:highlight w:val="none"/>
        </w:rPr>
      </w:pPr>
    </w:p>
    <w:p w14:paraId="19D01877">
      <w:pPr>
        <w:ind w:right="-867" w:rightChars="-413"/>
        <w:jc w:val="center"/>
        <w:rPr>
          <w:rFonts w:ascii="宋体" w:hAnsi="宋体" w:cs="宋体"/>
          <w:b/>
          <w:bCs/>
          <w:color w:val="auto"/>
          <w:sz w:val="44"/>
          <w:szCs w:val="44"/>
          <w:highlight w:val="none"/>
        </w:rPr>
      </w:pPr>
    </w:p>
    <w:p w14:paraId="04F8E0C4">
      <w:pPr>
        <w:pStyle w:val="35"/>
        <w:rPr>
          <w:rFonts w:ascii="宋体" w:hAnsi="宋体" w:eastAsia="宋体" w:cs="宋体"/>
          <w:color w:val="auto"/>
          <w:highlight w:val="none"/>
        </w:rPr>
      </w:pPr>
    </w:p>
    <w:p w14:paraId="082D8F6E">
      <w:pPr>
        <w:pStyle w:val="35"/>
        <w:rPr>
          <w:rFonts w:ascii="宋体" w:hAnsi="宋体" w:eastAsia="宋体" w:cs="宋体"/>
          <w:color w:val="auto"/>
          <w:highlight w:val="none"/>
        </w:rPr>
      </w:pPr>
    </w:p>
    <w:p w14:paraId="506BAA8C">
      <w:pPr>
        <w:pStyle w:val="35"/>
        <w:rPr>
          <w:rFonts w:ascii="宋体" w:hAnsi="宋体" w:eastAsia="宋体" w:cs="宋体"/>
          <w:color w:val="auto"/>
          <w:highlight w:val="none"/>
        </w:rPr>
      </w:pPr>
    </w:p>
    <w:p w14:paraId="29CE2B4B">
      <w:pPr>
        <w:pStyle w:val="35"/>
        <w:rPr>
          <w:rFonts w:ascii="宋体" w:hAnsi="宋体" w:eastAsia="宋体" w:cs="宋体"/>
          <w:color w:val="auto"/>
          <w:highlight w:val="none"/>
        </w:rPr>
      </w:pPr>
    </w:p>
    <w:p w14:paraId="378E8DCF">
      <w:pPr>
        <w:pStyle w:val="35"/>
        <w:rPr>
          <w:rFonts w:ascii="宋体" w:hAnsi="宋体" w:eastAsia="宋体" w:cs="宋体"/>
          <w:color w:val="auto"/>
          <w:highlight w:val="none"/>
        </w:rPr>
      </w:pPr>
    </w:p>
    <w:p w14:paraId="53D30456">
      <w:pPr>
        <w:pStyle w:val="35"/>
        <w:rPr>
          <w:rFonts w:ascii="宋体" w:hAnsi="宋体" w:eastAsia="宋体" w:cs="宋体"/>
          <w:color w:val="auto"/>
          <w:highlight w:val="none"/>
        </w:rPr>
      </w:pPr>
    </w:p>
    <w:p w14:paraId="28CC7051">
      <w:pPr>
        <w:pStyle w:val="35"/>
        <w:rPr>
          <w:rFonts w:ascii="宋体" w:hAnsi="宋体" w:eastAsia="宋体" w:cs="宋体"/>
          <w:color w:val="auto"/>
          <w:highlight w:val="none"/>
        </w:rPr>
      </w:pPr>
    </w:p>
    <w:p w14:paraId="0FB269AC">
      <w:pPr>
        <w:pStyle w:val="12"/>
        <w:rPr>
          <w:rFonts w:ascii="宋体" w:hAnsi="宋体" w:cs="宋体"/>
          <w:b/>
          <w:bCs/>
          <w:color w:val="auto"/>
          <w:sz w:val="32"/>
          <w:szCs w:val="32"/>
          <w:highlight w:val="none"/>
        </w:rPr>
      </w:pPr>
    </w:p>
    <w:p w14:paraId="5E51691E">
      <w:pPr>
        <w:pStyle w:val="11"/>
        <w:adjustRightInd w:val="0"/>
        <w:snapToGrid w:val="0"/>
        <w:spacing w:line="360" w:lineRule="auto"/>
        <w:jc w:val="center"/>
        <w:rPr>
          <w:rFonts w:hAnsi="宋体"/>
          <w:b/>
          <w:bCs/>
          <w:color w:val="auto"/>
          <w:sz w:val="32"/>
          <w:szCs w:val="32"/>
          <w:highlight w:val="none"/>
        </w:rPr>
      </w:pPr>
      <w:r>
        <w:rPr>
          <w:rFonts w:hint="eastAsia" w:hAnsi="宋体"/>
          <w:b/>
          <w:bCs/>
          <w:color w:val="auto"/>
          <w:sz w:val="32"/>
          <w:szCs w:val="32"/>
          <w:highlight w:val="none"/>
          <w:lang w:eastAsia="zh-CN"/>
        </w:rPr>
        <w:t>2025</w:t>
      </w:r>
      <w:r>
        <w:rPr>
          <w:rFonts w:hint="eastAsia" w:hAnsi="宋体"/>
          <w:b/>
          <w:bCs/>
          <w:color w:val="auto"/>
          <w:sz w:val="32"/>
          <w:szCs w:val="32"/>
          <w:highlight w:val="none"/>
        </w:rPr>
        <w:t>年</w:t>
      </w:r>
      <w:r>
        <w:rPr>
          <w:rFonts w:hint="eastAsia" w:hAnsi="宋体"/>
          <w:b/>
          <w:bCs/>
          <w:color w:val="auto"/>
          <w:sz w:val="32"/>
          <w:szCs w:val="32"/>
          <w:highlight w:val="none"/>
          <w:lang w:val="en-US" w:eastAsia="zh-CN"/>
        </w:rPr>
        <w:t>10</w:t>
      </w:r>
      <w:r>
        <w:rPr>
          <w:rFonts w:hint="eastAsia" w:hAnsi="宋体"/>
          <w:b/>
          <w:bCs/>
          <w:color w:val="auto"/>
          <w:sz w:val="32"/>
          <w:szCs w:val="32"/>
          <w:highlight w:val="none"/>
        </w:rPr>
        <w:t>月</w:t>
      </w:r>
    </w:p>
    <w:p w14:paraId="384B2384">
      <w:pPr>
        <w:pStyle w:val="11"/>
        <w:adjustRightInd w:val="0"/>
        <w:snapToGrid w:val="0"/>
        <w:spacing w:line="360" w:lineRule="auto"/>
        <w:jc w:val="center"/>
        <w:rPr>
          <w:rFonts w:hint="eastAsia" w:hAnsi="宋体"/>
          <w:color w:val="auto"/>
          <w:spacing w:val="160"/>
          <w:sz w:val="36"/>
          <w:szCs w:val="36"/>
          <w:highlight w:val="none"/>
        </w:rPr>
        <w:sectPr>
          <w:footerReference r:id="rId3" w:type="default"/>
          <w:pgSz w:w="11906" w:h="16838"/>
          <w:pgMar w:top="1134" w:right="1418" w:bottom="709" w:left="1474" w:header="851" w:footer="799" w:gutter="0"/>
          <w:cols w:space="720" w:num="1"/>
          <w:docGrid w:type="linesAndChars" w:linePitch="312" w:charSpace="0"/>
        </w:sectPr>
      </w:pPr>
    </w:p>
    <w:p w14:paraId="7B7DEC38">
      <w:pPr>
        <w:pStyle w:val="11"/>
        <w:adjustRightInd w:val="0"/>
        <w:snapToGrid w:val="0"/>
        <w:spacing w:line="360" w:lineRule="auto"/>
        <w:jc w:val="center"/>
        <w:rPr>
          <w:rFonts w:hAnsi="宋体"/>
          <w:color w:val="auto"/>
          <w:spacing w:val="160"/>
          <w:sz w:val="36"/>
          <w:szCs w:val="36"/>
          <w:highlight w:val="none"/>
        </w:rPr>
      </w:pPr>
      <w:r>
        <w:rPr>
          <w:rFonts w:hint="eastAsia" w:hAnsi="宋体"/>
          <w:color w:val="auto"/>
          <w:spacing w:val="160"/>
          <w:sz w:val="36"/>
          <w:szCs w:val="36"/>
          <w:highlight w:val="none"/>
        </w:rPr>
        <w:t>目录</w:t>
      </w:r>
    </w:p>
    <w:p w14:paraId="1E24E997">
      <w:pPr>
        <w:pStyle w:val="11"/>
        <w:adjustRightInd w:val="0"/>
        <w:snapToGrid w:val="0"/>
        <w:spacing w:line="360" w:lineRule="auto"/>
        <w:rPr>
          <w:rFonts w:hAnsi="宋体"/>
          <w:b/>
          <w:bCs/>
          <w:color w:val="auto"/>
          <w:sz w:val="24"/>
          <w:szCs w:val="24"/>
          <w:highlight w:val="none"/>
        </w:rPr>
      </w:pPr>
    </w:p>
    <w:p w14:paraId="4CE8E80F">
      <w:pPr>
        <w:pStyle w:val="11"/>
        <w:adjustRightInd w:val="0"/>
        <w:snapToGrid w:val="0"/>
        <w:spacing w:line="360" w:lineRule="auto"/>
        <w:rPr>
          <w:rFonts w:hAnsi="宋体"/>
          <w:b/>
          <w:bCs/>
          <w:color w:val="auto"/>
          <w:sz w:val="24"/>
          <w:szCs w:val="24"/>
          <w:highlight w:val="none"/>
        </w:rPr>
      </w:pPr>
      <w:r>
        <w:rPr>
          <w:rFonts w:hint="eastAsia" w:hAnsi="宋体"/>
          <w:b/>
          <w:bCs/>
          <w:color w:val="auto"/>
          <w:sz w:val="24"/>
          <w:szCs w:val="24"/>
          <w:highlight w:val="none"/>
        </w:rPr>
        <w:t>第一章 磋商邀请</w:t>
      </w:r>
    </w:p>
    <w:p w14:paraId="6166F13C">
      <w:pPr>
        <w:pStyle w:val="11"/>
        <w:adjustRightInd w:val="0"/>
        <w:snapToGrid w:val="0"/>
        <w:spacing w:line="360" w:lineRule="auto"/>
        <w:rPr>
          <w:rFonts w:hAnsi="宋体"/>
          <w:b/>
          <w:bCs/>
          <w:color w:val="auto"/>
          <w:sz w:val="24"/>
          <w:szCs w:val="24"/>
          <w:highlight w:val="none"/>
        </w:rPr>
      </w:pPr>
      <w:r>
        <w:rPr>
          <w:rFonts w:hint="eastAsia" w:hAnsi="宋体"/>
          <w:b/>
          <w:bCs/>
          <w:color w:val="auto"/>
          <w:sz w:val="24"/>
          <w:szCs w:val="24"/>
          <w:highlight w:val="none"/>
        </w:rPr>
        <w:t>第二章 磋商须知</w:t>
      </w:r>
    </w:p>
    <w:p w14:paraId="6EB53F37">
      <w:pPr>
        <w:tabs>
          <w:tab w:val="left" w:pos="144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磋商须知前附表</w:t>
      </w:r>
    </w:p>
    <w:p w14:paraId="7446E0A1">
      <w:pPr>
        <w:tabs>
          <w:tab w:val="left" w:pos="144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磋商须知正文</w:t>
      </w:r>
    </w:p>
    <w:p w14:paraId="6971B775">
      <w:pPr>
        <w:tabs>
          <w:tab w:val="left" w:pos="1440"/>
        </w:tabs>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一、说明</w:t>
      </w:r>
    </w:p>
    <w:p w14:paraId="6CA7D08B">
      <w:pPr>
        <w:tabs>
          <w:tab w:val="left" w:pos="1440"/>
        </w:tabs>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二、磋商文件</w:t>
      </w:r>
    </w:p>
    <w:p w14:paraId="3188D541">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三、响应文件</w:t>
      </w:r>
    </w:p>
    <w:p w14:paraId="1C9FD461">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四、响应文件的递交</w:t>
      </w:r>
    </w:p>
    <w:p w14:paraId="61C5A6C1">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五、响应文件的磋商与评审</w:t>
      </w:r>
    </w:p>
    <w:p w14:paraId="123C0372">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六、成交结果信息公布与授予合同</w:t>
      </w:r>
    </w:p>
    <w:p w14:paraId="7F2B1AC2">
      <w:pPr>
        <w:adjustRightInd w:val="0"/>
        <w:snapToGrid w:val="0"/>
        <w:spacing w:line="360" w:lineRule="auto"/>
        <w:ind w:firstLine="630" w:firstLineChars="300"/>
        <w:jc w:val="left"/>
        <w:rPr>
          <w:rFonts w:ascii="宋体" w:hAnsi="宋体" w:cs="宋体"/>
          <w:color w:val="auto"/>
          <w:highlight w:val="none"/>
        </w:rPr>
      </w:pPr>
      <w:r>
        <w:rPr>
          <w:rFonts w:hint="eastAsia" w:ascii="宋体" w:hAnsi="宋体" w:cs="宋体"/>
          <w:color w:val="auto"/>
          <w:highlight w:val="none"/>
        </w:rPr>
        <w:t>七、其他规定</w:t>
      </w:r>
    </w:p>
    <w:p w14:paraId="7F8ECB7E">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第三章 政府采购合同格式</w:t>
      </w:r>
    </w:p>
    <w:p w14:paraId="7A044572">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第四章 采购需求</w:t>
      </w:r>
    </w:p>
    <w:p w14:paraId="2536C574">
      <w:pPr>
        <w:pStyle w:val="11"/>
        <w:adjustRightInd w:val="0"/>
        <w:snapToGrid w:val="0"/>
        <w:spacing w:line="360" w:lineRule="auto"/>
        <w:rPr>
          <w:rFonts w:hAnsi="宋体"/>
          <w:b/>
          <w:bCs/>
          <w:color w:val="auto"/>
          <w:sz w:val="24"/>
          <w:szCs w:val="24"/>
          <w:highlight w:val="none"/>
        </w:rPr>
      </w:pPr>
      <w:r>
        <w:rPr>
          <w:rFonts w:hint="eastAsia" w:hAnsi="宋体"/>
          <w:b/>
          <w:bCs/>
          <w:color w:val="auto"/>
          <w:sz w:val="24"/>
          <w:szCs w:val="24"/>
          <w:highlight w:val="none"/>
        </w:rPr>
        <w:t>第五章 响应文件组成</w:t>
      </w:r>
    </w:p>
    <w:p w14:paraId="54FCD045">
      <w:pPr>
        <w:ind w:firstLine="2880" w:firstLineChars="900"/>
        <w:rPr>
          <w:rFonts w:ascii="宋体" w:hAnsi="宋体" w:cs="宋体"/>
          <w:b/>
          <w:bCs/>
          <w:color w:val="auto"/>
          <w:sz w:val="32"/>
          <w:szCs w:val="32"/>
          <w:highlight w:val="none"/>
        </w:rPr>
      </w:pPr>
    </w:p>
    <w:p w14:paraId="36B2A962">
      <w:pPr>
        <w:ind w:firstLine="2880" w:firstLineChars="900"/>
        <w:rPr>
          <w:rFonts w:ascii="宋体" w:hAnsi="宋体" w:cs="宋体"/>
          <w:b/>
          <w:bCs/>
          <w:color w:val="auto"/>
          <w:sz w:val="32"/>
          <w:szCs w:val="32"/>
          <w:highlight w:val="none"/>
        </w:rPr>
      </w:pPr>
    </w:p>
    <w:p w14:paraId="5985387D">
      <w:pPr>
        <w:ind w:firstLine="2880" w:firstLineChars="900"/>
        <w:rPr>
          <w:rFonts w:ascii="宋体" w:hAnsi="宋体" w:cs="宋体"/>
          <w:b/>
          <w:bCs/>
          <w:color w:val="auto"/>
          <w:sz w:val="32"/>
          <w:szCs w:val="32"/>
          <w:highlight w:val="none"/>
        </w:rPr>
      </w:pPr>
    </w:p>
    <w:p w14:paraId="48AD6A9C">
      <w:pPr>
        <w:ind w:firstLine="2880" w:firstLineChars="900"/>
        <w:rPr>
          <w:rFonts w:ascii="宋体" w:hAnsi="宋体" w:cs="宋体"/>
          <w:b/>
          <w:bCs/>
          <w:color w:val="auto"/>
          <w:sz w:val="32"/>
          <w:szCs w:val="32"/>
          <w:highlight w:val="none"/>
        </w:rPr>
      </w:pPr>
    </w:p>
    <w:p w14:paraId="44259AFE">
      <w:pPr>
        <w:ind w:firstLine="2880" w:firstLineChars="900"/>
        <w:rPr>
          <w:rFonts w:ascii="宋体" w:hAnsi="宋体" w:cs="宋体"/>
          <w:b/>
          <w:bCs/>
          <w:color w:val="auto"/>
          <w:sz w:val="32"/>
          <w:szCs w:val="32"/>
          <w:highlight w:val="none"/>
        </w:rPr>
      </w:pPr>
    </w:p>
    <w:p w14:paraId="39258971">
      <w:pPr>
        <w:ind w:firstLine="2880" w:firstLineChars="900"/>
        <w:rPr>
          <w:rFonts w:ascii="宋体" w:hAnsi="宋体" w:cs="宋体"/>
          <w:b/>
          <w:bCs/>
          <w:color w:val="auto"/>
          <w:sz w:val="32"/>
          <w:szCs w:val="32"/>
          <w:highlight w:val="none"/>
        </w:rPr>
      </w:pPr>
    </w:p>
    <w:p w14:paraId="4889B809">
      <w:pPr>
        <w:pStyle w:val="35"/>
        <w:rPr>
          <w:rFonts w:ascii="宋体" w:hAnsi="宋体" w:eastAsia="宋体" w:cs="宋体"/>
          <w:b/>
          <w:bCs/>
          <w:color w:val="auto"/>
          <w:sz w:val="32"/>
          <w:szCs w:val="32"/>
          <w:highlight w:val="none"/>
        </w:rPr>
      </w:pPr>
    </w:p>
    <w:p w14:paraId="0962226C">
      <w:pPr>
        <w:pStyle w:val="35"/>
        <w:rPr>
          <w:rFonts w:ascii="宋体" w:hAnsi="宋体" w:eastAsia="宋体" w:cs="宋体"/>
          <w:b/>
          <w:bCs/>
          <w:color w:val="auto"/>
          <w:sz w:val="32"/>
          <w:szCs w:val="32"/>
          <w:highlight w:val="none"/>
        </w:rPr>
      </w:pPr>
    </w:p>
    <w:p w14:paraId="5E6C3091">
      <w:pPr>
        <w:pStyle w:val="35"/>
        <w:rPr>
          <w:rFonts w:ascii="宋体" w:hAnsi="宋体" w:eastAsia="宋体" w:cs="宋体"/>
          <w:b/>
          <w:bCs/>
          <w:color w:val="auto"/>
          <w:sz w:val="32"/>
          <w:szCs w:val="32"/>
          <w:highlight w:val="none"/>
        </w:rPr>
      </w:pPr>
    </w:p>
    <w:p w14:paraId="57C19636">
      <w:pPr>
        <w:pStyle w:val="35"/>
        <w:rPr>
          <w:rFonts w:ascii="宋体" w:hAnsi="宋体" w:eastAsia="宋体" w:cs="宋体"/>
          <w:b/>
          <w:bCs/>
          <w:color w:val="auto"/>
          <w:sz w:val="32"/>
          <w:szCs w:val="32"/>
          <w:highlight w:val="none"/>
        </w:rPr>
      </w:pPr>
    </w:p>
    <w:p w14:paraId="46C5F3B8">
      <w:pPr>
        <w:ind w:firstLine="2880" w:firstLineChars="900"/>
        <w:rPr>
          <w:rFonts w:ascii="宋体" w:hAnsi="宋体" w:cs="宋体"/>
          <w:b/>
          <w:bCs/>
          <w:color w:val="auto"/>
          <w:sz w:val="32"/>
          <w:szCs w:val="32"/>
          <w:highlight w:val="none"/>
        </w:rPr>
      </w:pPr>
    </w:p>
    <w:p w14:paraId="278C17BB">
      <w:pPr>
        <w:jc w:val="center"/>
        <w:rPr>
          <w:rFonts w:hint="eastAsia" w:ascii="宋体" w:hAnsi="宋体" w:cs="宋体"/>
          <w:b/>
          <w:bCs/>
          <w:color w:val="auto"/>
          <w:sz w:val="32"/>
          <w:szCs w:val="32"/>
          <w:highlight w:val="none"/>
        </w:rPr>
        <w:sectPr>
          <w:footerReference r:id="rId4" w:type="default"/>
          <w:pgSz w:w="11906" w:h="16838"/>
          <w:pgMar w:top="1134" w:right="1418" w:bottom="709" w:left="1474" w:header="851" w:footer="799" w:gutter="0"/>
          <w:pgNumType w:start="1"/>
          <w:cols w:space="720" w:num="1"/>
          <w:docGrid w:type="linesAndChars" w:linePitch="312" w:charSpace="0"/>
        </w:sectPr>
      </w:pPr>
    </w:p>
    <w:p w14:paraId="2F883274">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第一章 磋商邀请</w:t>
      </w:r>
    </w:p>
    <w:p w14:paraId="3887BDAC">
      <w:pPr>
        <w:autoSpaceDE w:val="0"/>
        <w:autoSpaceDN w:val="0"/>
        <w:adjustRightInd w:val="0"/>
        <w:snapToGrid w:val="0"/>
        <w:spacing w:line="360" w:lineRule="auto"/>
        <w:jc w:val="left"/>
        <w:rPr>
          <w:rFonts w:ascii="宋体" w:hAnsi="宋体" w:cs="宋体"/>
          <w:color w:val="auto"/>
          <w:kern w:val="0"/>
          <w:highlight w:val="none"/>
        </w:rPr>
      </w:pPr>
    </w:p>
    <w:p w14:paraId="6BCFAE43">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湖南天舟招标代理有限公司</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u w:val="single"/>
        </w:rPr>
        <w:t>湖南省商务厅</w:t>
      </w:r>
      <w:r>
        <w:rPr>
          <w:rFonts w:hint="eastAsia" w:ascii="宋体" w:hAnsi="宋体" w:eastAsia="宋体" w:cs="宋体"/>
          <w:color w:val="auto"/>
          <w:sz w:val="24"/>
          <w:szCs w:val="24"/>
          <w:highlight w:val="none"/>
        </w:rPr>
        <w:t>的委托，对其</w:t>
      </w:r>
      <w:r>
        <w:rPr>
          <w:rFonts w:hint="eastAsia" w:ascii="宋体" w:hAnsi="宋体" w:eastAsia="宋体" w:cs="宋体"/>
          <w:color w:val="auto"/>
          <w:sz w:val="24"/>
          <w:szCs w:val="24"/>
          <w:highlight w:val="none"/>
          <w:u w:val="single"/>
          <w:lang w:eastAsia="zh-CN"/>
        </w:rPr>
        <w:t>中非经贸博览会走进进博会专场推介会会务服务项目</w:t>
      </w:r>
      <w:r>
        <w:rPr>
          <w:rFonts w:hint="eastAsia" w:ascii="宋体" w:hAnsi="宋体" w:eastAsia="宋体" w:cs="宋体"/>
          <w:color w:val="auto"/>
          <w:sz w:val="24"/>
          <w:szCs w:val="24"/>
          <w:highlight w:val="none"/>
        </w:rPr>
        <w:t>进行竞争性磋商采购，现采用发布公告的方式，邀请合格的供应商参与竞争性磋商采购活动。</w:t>
      </w:r>
    </w:p>
    <w:p w14:paraId="616E3835">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一、采购项目基本概况</w:t>
      </w:r>
    </w:p>
    <w:p w14:paraId="2215432C">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1、采购项目名称：</w:t>
      </w:r>
      <w:r>
        <w:rPr>
          <w:rFonts w:hint="eastAsia" w:ascii="宋体" w:hAnsi="宋体" w:eastAsia="宋体" w:cs="宋体"/>
          <w:color w:val="auto"/>
          <w:sz w:val="24"/>
          <w:szCs w:val="24"/>
          <w:highlight w:val="none"/>
          <w:lang w:eastAsia="zh-CN"/>
        </w:rPr>
        <w:t>中非经贸博览会走进进博会专场推介会会务服务项目</w:t>
      </w:r>
    </w:p>
    <w:p w14:paraId="0E8A8E5A">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2、委托代理编号：</w:t>
      </w:r>
      <w:r>
        <w:rPr>
          <w:rFonts w:hint="eastAsia" w:ascii="宋体" w:hAnsi="宋体" w:eastAsia="宋体" w:cs="宋体"/>
          <w:color w:val="auto"/>
          <w:sz w:val="24"/>
          <w:szCs w:val="24"/>
          <w:highlight w:val="none"/>
          <w:lang w:eastAsia="zh-CN"/>
        </w:rPr>
        <w:t>2025-TZ940</w:t>
      </w:r>
    </w:p>
    <w:p w14:paraId="10BAAD6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3、采购项目标的、数量及简要规格描述或项目基本概况介绍：</w:t>
      </w:r>
      <w:r>
        <w:rPr>
          <w:rFonts w:hint="eastAsia" w:ascii="宋体" w:hAnsi="宋体" w:eastAsia="宋体" w:cs="宋体"/>
          <w:color w:val="auto"/>
          <w:sz w:val="24"/>
          <w:szCs w:val="24"/>
          <w:highlight w:val="none"/>
          <w:u w:val="single"/>
        </w:rPr>
        <w:t>详见磋商文件第四章采购需求</w:t>
      </w:r>
      <w:r>
        <w:rPr>
          <w:rFonts w:hint="eastAsia" w:ascii="宋体" w:hAnsi="宋体" w:eastAsia="宋体" w:cs="宋体"/>
          <w:b/>
          <w:bCs/>
          <w:color w:val="auto"/>
          <w:sz w:val="24"/>
          <w:szCs w:val="24"/>
          <w:highlight w:val="none"/>
        </w:rPr>
        <w:t>。</w:t>
      </w:r>
    </w:p>
    <w:p w14:paraId="1670B605">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二、采购项目预算：</w:t>
      </w:r>
      <w:r>
        <w:rPr>
          <w:rFonts w:hint="eastAsia" w:ascii="宋体" w:hAnsi="宋体" w:eastAsia="宋体" w:cs="宋体"/>
          <w:color w:val="auto"/>
          <w:sz w:val="24"/>
          <w:szCs w:val="24"/>
          <w:highlight w:val="none"/>
          <w:lang w:val="en-US" w:eastAsia="zh-CN"/>
        </w:rPr>
        <w:t>226700</w:t>
      </w:r>
      <w:r>
        <w:rPr>
          <w:rFonts w:hint="eastAsia" w:ascii="宋体" w:hAnsi="宋体" w:eastAsia="宋体" w:cs="宋体"/>
          <w:color w:val="auto"/>
          <w:sz w:val="24"/>
          <w:szCs w:val="24"/>
          <w:highlight w:val="none"/>
          <w:lang w:eastAsia="zh-CN"/>
        </w:rPr>
        <w:t>元</w:t>
      </w:r>
    </w:p>
    <w:p w14:paraId="42475E32">
      <w:pPr>
        <w:keepNext w:val="0"/>
        <w:keepLines w:val="0"/>
        <w:pageBreakBefore w:val="0"/>
        <w:widowControl w:val="0"/>
        <w:kinsoku/>
        <w:wordWrap/>
        <w:overflowPunct/>
        <w:topLinePunct w:val="0"/>
        <w:autoSpaceDE/>
        <w:autoSpaceDN/>
        <w:bidi w:val="0"/>
        <w:adjustRightInd/>
        <w:snapToGrid/>
        <w:spacing w:line="360" w:lineRule="auto"/>
        <w:ind w:left="0" w:right="0" w:rightChars="0" w:firstLine="964" w:firstLineChars="400"/>
        <w:jc w:val="both"/>
        <w:textAlignment w:val="auto"/>
        <w:rPr>
          <w:rFonts w:hint="eastAsia" w:ascii="Calibri" w:hAnsi="Calibri" w:eastAsia="宋体" w:cs="Calibri"/>
          <w:szCs w:val="21"/>
        </w:rPr>
      </w:pPr>
      <w:r>
        <w:rPr>
          <w:rFonts w:hint="eastAsia" w:ascii="宋体" w:hAnsi="宋体" w:eastAsia="宋体" w:cs="宋体"/>
          <w:b/>
          <w:color w:val="auto"/>
          <w:kern w:val="2"/>
          <w:sz w:val="24"/>
          <w:szCs w:val="24"/>
          <w:highlight w:val="none"/>
          <w:lang w:val="en-US" w:eastAsia="zh-CN" w:bidi="ar-SA"/>
        </w:rPr>
        <w:t>预算控制价：</w:t>
      </w:r>
      <w:r>
        <w:rPr>
          <w:rFonts w:hint="eastAsia" w:ascii="宋体" w:hAnsi="宋体" w:eastAsia="宋体" w:cs="宋体"/>
          <w:b w:val="0"/>
          <w:bCs/>
          <w:color w:val="auto"/>
          <w:kern w:val="2"/>
          <w:sz w:val="24"/>
          <w:szCs w:val="24"/>
          <w:highlight w:val="none"/>
          <w:lang w:val="en-US" w:eastAsia="zh-CN" w:bidi="ar-SA"/>
        </w:rPr>
        <w:t>222510元</w:t>
      </w:r>
    </w:p>
    <w:p w14:paraId="64076C17">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三、供应商资格条件：</w:t>
      </w:r>
    </w:p>
    <w:p w14:paraId="4175C02F">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1、基本资格条件：</w:t>
      </w:r>
    </w:p>
    <w:p w14:paraId="7EABFA92">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（1）法人提交企业法人营业执照副本（或法人登记证）复印件；</w:t>
      </w:r>
    </w:p>
    <w:p w14:paraId="4B5392A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（2）法人提交法定代表人身份证明原件或者委托代理人提供法定代表人授权委托书原件并附法定代表人身份证明原件；</w:t>
      </w:r>
    </w:p>
    <w:p w14:paraId="06B06378">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rPr>
        <w:t>（3）</w:t>
      </w:r>
      <w:r>
        <w:rPr>
          <w:rFonts w:hint="eastAsia" w:ascii="宋体" w:hAnsi="宋体" w:eastAsia="宋体" w:cs="宋体"/>
          <w:color w:val="auto"/>
          <w:sz w:val="24"/>
          <w:szCs w:val="24"/>
        </w:rPr>
        <w:t>提供《湖南省政府采购供应商资格承诺函》（格式见附件）</w:t>
      </w:r>
      <w:r>
        <w:rPr>
          <w:rFonts w:hint="eastAsia" w:ascii="宋体" w:hAnsi="宋体" w:eastAsia="宋体" w:cs="宋体"/>
          <w:color w:val="auto"/>
          <w:sz w:val="24"/>
          <w:szCs w:val="24"/>
          <w:lang w:eastAsia="zh-CN"/>
        </w:rPr>
        <w:t>。</w:t>
      </w:r>
    </w:p>
    <w:p w14:paraId="7DA6CCA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2、供应商特定资格条件：</w:t>
      </w:r>
      <w:r>
        <w:rPr>
          <w:rFonts w:hint="eastAsia" w:ascii="宋体" w:hAnsi="宋体" w:eastAsia="宋体" w:cs="宋体"/>
          <w:color w:val="auto"/>
          <w:sz w:val="24"/>
          <w:szCs w:val="24"/>
          <w:lang w:val="en-US" w:eastAsia="zh-CN"/>
        </w:rPr>
        <w:t>提供标前诚信承诺书（格式见附件）。</w:t>
      </w:r>
    </w:p>
    <w:p w14:paraId="51BC53DD">
      <w:pPr>
        <w:adjustRightInd w:val="0"/>
        <w:snapToGrid w:val="0"/>
        <w:spacing w:line="360" w:lineRule="auto"/>
        <w:ind w:firstLine="420"/>
        <w:outlineLvl w:val="0"/>
        <w:rPr>
          <w:rFonts w:ascii="宋体" w:hAnsi="宋体" w:eastAsia="宋体" w:cs="宋体"/>
          <w:b/>
          <w:bCs/>
          <w:sz w:val="24"/>
          <w:szCs w:val="24"/>
        </w:rPr>
      </w:pPr>
      <w:r>
        <w:rPr>
          <w:rFonts w:hint="eastAsia" w:ascii="宋体" w:hAnsi="宋体" w:eastAsia="宋体" w:cs="宋体"/>
          <w:b/>
          <w:bCs/>
          <w:sz w:val="24"/>
          <w:szCs w:val="24"/>
        </w:rPr>
        <w:t>四、获取磋商文件的时间、地点</w:t>
      </w:r>
      <w:r>
        <w:rPr>
          <w:rFonts w:hint="eastAsia" w:ascii="宋体" w:hAnsi="宋体" w:eastAsia="宋体" w:cs="宋体"/>
          <w:b/>
          <w:bCs/>
          <w:sz w:val="24"/>
          <w:szCs w:val="24"/>
          <w:lang w:val="en-US" w:eastAsia="zh-CN"/>
        </w:rPr>
        <w:t>及</w:t>
      </w:r>
      <w:r>
        <w:rPr>
          <w:rFonts w:hint="eastAsia" w:ascii="宋体" w:hAnsi="宋体" w:eastAsia="宋体" w:cs="宋体"/>
          <w:b/>
          <w:bCs/>
          <w:sz w:val="24"/>
          <w:szCs w:val="24"/>
        </w:rPr>
        <w:t>方式</w:t>
      </w:r>
    </w:p>
    <w:p w14:paraId="116BD773">
      <w:pPr>
        <w:adjustRightInd w:val="0"/>
        <w:snapToGrid w:val="0"/>
        <w:spacing w:line="360" w:lineRule="auto"/>
        <w:ind w:firstLine="480" w:firstLineChars="200"/>
        <w:outlineLvl w:val="0"/>
        <w:rPr>
          <w:rFonts w:ascii="宋体" w:hAnsi="宋体" w:eastAsia="宋体" w:cs="宋体"/>
          <w:sz w:val="24"/>
          <w:szCs w:val="24"/>
        </w:rPr>
      </w:pPr>
      <w:r>
        <w:rPr>
          <w:rFonts w:hint="eastAsia" w:ascii="宋体" w:hAnsi="宋体" w:eastAsia="宋体" w:cs="宋体"/>
          <w:sz w:val="24"/>
          <w:szCs w:val="24"/>
        </w:rPr>
        <w:t>凡有意参加磋商采购活动的</w:t>
      </w:r>
      <w:r>
        <w:rPr>
          <w:rFonts w:hint="eastAsia" w:ascii="宋体" w:hAnsi="宋体" w:eastAsia="宋体" w:cs="宋体"/>
          <w:sz w:val="24"/>
          <w:szCs w:val="24"/>
          <w:u w:val="none"/>
        </w:rPr>
        <w:t>，请于202</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年</w:t>
      </w:r>
      <w:r>
        <w:rPr>
          <w:rFonts w:hint="eastAsia" w:ascii="宋体" w:hAnsi="宋体" w:eastAsia="宋体" w:cs="宋体"/>
          <w:sz w:val="24"/>
          <w:szCs w:val="24"/>
          <w:u w:val="single"/>
          <w:lang w:val="en-US" w:eastAsia="zh-CN"/>
        </w:rPr>
        <w:t xml:space="preserve"> 10</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14</w:t>
      </w:r>
      <w:r>
        <w:rPr>
          <w:rFonts w:hint="eastAsia" w:ascii="宋体" w:hAnsi="宋体" w:eastAsia="宋体" w:cs="宋体"/>
          <w:sz w:val="24"/>
          <w:szCs w:val="24"/>
          <w:u w:val="none"/>
        </w:rPr>
        <w:t>日起至202</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年</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10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20</w:t>
      </w:r>
      <w:r>
        <w:rPr>
          <w:rFonts w:hint="eastAsia" w:ascii="宋体" w:hAnsi="宋体" w:eastAsia="宋体" w:cs="宋体"/>
          <w:sz w:val="24"/>
          <w:szCs w:val="24"/>
        </w:rPr>
        <w:t>日(节假日除外)，每日上午</w:t>
      </w:r>
      <w:bookmarkStart w:id="4" w:name="_GoBack"/>
      <w:bookmarkEnd w:id="4"/>
      <w:r>
        <w:rPr>
          <w:rFonts w:hint="eastAsia" w:ascii="宋体" w:hAnsi="宋体" w:eastAsia="宋体" w:cs="宋体"/>
          <w:sz w:val="24"/>
          <w:szCs w:val="24"/>
          <w:u w:val="single"/>
        </w:rPr>
        <w:t>9:00</w:t>
      </w:r>
      <w:r>
        <w:rPr>
          <w:rFonts w:hint="eastAsia" w:ascii="宋体" w:hAnsi="宋体" w:eastAsia="宋体" w:cs="宋体"/>
          <w:sz w:val="24"/>
          <w:szCs w:val="24"/>
        </w:rPr>
        <w:t>时至</w:t>
      </w:r>
      <w:r>
        <w:rPr>
          <w:rFonts w:hint="eastAsia" w:ascii="宋体" w:hAnsi="宋体" w:eastAsia="宋体" w:cs="宋体"/>
          <w:sz w:val="24"/>
          <w:szCs w:val="24"/>
          <w:u w:val="single"/>
        </w:rPr>
        <w:t>12:00</w:t>
      </w:r>
      <w:r>
        <w:rPr>
          <w:rFonts w:hint="eastAsia" w:ascii="宋体" w:hAnsi="宋体" w:eastAsia="宋体" w:cs="宋体"/>
          <w:sz w:val="24"/>
          <w:szCs w:val="24"/>
        </w:rPr>
        <w:t>时、下午</w:t>
      </w:r>
      <w:r>
        <w:rPr>
          <w:rFonts w:hint="eastAsia" w:ascii="宋体" w:hAnsi="宋体" w:eastAsia="宋体" w:cs="宋体"/>
          <w:sz w:val="24"/>
          <w:szCs w:val="24"/>
          <w:u w:val="single"/>
        </w:rPr>
        <w:t>14:00</w:t>
      </w:r>
      <w:r>
        <w:rPr>
          <w:rFonts w:hint="eastAsia" w:ascii="宋体" w:hAnsi="宋体" w:eastAsia="宋体" w:cs="宋体"/>
          <w:sz w:val="24"/>
          <w:szCs w:val="24"/>
        </w:rPr>
        <w:t>时至</w:t>
      </w:r>
      <w:r>
        <w:rPr>
          <w:rFonts w:hint="eastAsia" w:ascii="宋体" w:hAnsi="宋体" w:eastAsia="宋体" w:cs="宋体"/>
          <w:sz w:val="24"/>
          <w:szCs w:val="24"/>
          <w:u w:val="single"/>
        </w:rPr>
        <w:t>17:00</w:t>
      </w:r>
      <w:r>
        <w:rPr>
          <w:rFonts w:hint="eastAsia" w:ascii="宋体" w:hAnsi="宋体" w:eastAsia="宋体" w:cs="宋体"/>
          <w:sz w:val="24"/>
          <w:szCs w:val="24"/>
        </w:rPr>
        <w:t>时(北京时间)，持单位介绍信、法定代表人身份证明或授权委托书(附法定代表人身份证明)、个人身份证到长沙市芙蓉区律政服务大楼21楼2111室（3-8号电梯）获</w:t>
      </w:r>
      <w:r>
        <w:rPr>
          <w:rFonts w:hint="eastAsia" w:ascii="宋体" w:hAnsi="宋体" w:eastAsia="宋体" w:cs="宋体"/>
          <w:sz w:val="24"/>
          <w:szCs w:val="24"/>
          <w:lang w:eastAsia="zh-CN"/>
        </w:rPr>
        <w:t>取</w:t>
      </w:r>
      <w:r>
        <w:rPr>
          <w:rFonts w:hint="eastAsia" w:ascii="宋体" w:hAnsi="宋体" w:eastAsia="宋体" w:cs="宋体"/>
          <w:sz w:val="24"/>
          <w:szCs w:val="24"/>
        </w:rPr>
        <w:t>磋商文件。</w:t>
      </w:r>
    </w:p>
    <w:p w14:paraId="08BF6F4D">
      <w:pPr>
        <w:adjustRightInd w:val="0"/>
        <w:snapToGrid w:val="0"/>
        <w:spacing w:line="360" w:lineRule="auto"/>
        <w:ind w:firstLine="420"/>
        <w:outlineLvl w:val="0"/>
        <w:rPr>
          <w:rFonts w:ascii="宋体" w:hAnsi="宋体" w:eastAsia="宋体" w:cs="宋体"/>
          <w:b/>
          <w:bCs/>
          <w:sz w:val="24"/>
          <w:szCs w:val="24"/>
        </w:rPr>
      </w:pPr>
      <w:r>
        <w:rPr>
          <w:rFonts w:hint="eastAsia" w:ascii="宋体" w:hAnsi="宋体" w:eastAsia="宋体" w:cs="宋体"/>
          <w:b/>
          <w:bCs/>
          <w:sz w:val="24"/>
          <w:szCs w:val="24"/>
        </w:rPr>
        <w:t>五、响应文件提交的截止时间、开启时间及地点</w:t>
      </w:r>
    </w:p>
    <w:p w14:paraId="1D1910C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1、提交首次响应文件的截止时间为202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10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24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09</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30</w:t>
      </w:r>
      <w:r>
        <w:rPr>
          <w:rFonts w:hint="eastAsia" w:ascii="宋体" w:hAnsi="宋体" w:eastAsia="宋体" w:cs="宋体"/>
          <w:sz w:val="24"/>
          <w:szCs w:val="24"/>
        </w:rPr>
        <w:t>分（北京时间），地点为</w:t>
      </w:r>
      <w:r>
        <w:rPr>
          <w:rFonts w:hint="eastAsia" w:ascii="宋体" w:hAnsi="宋体" w:eastAsia="宋体" w:cs="宋体"/>
          <w:sz w:val="24"/>
          <w:szCs w:val="24"/>
          <w:u w:val="single"/>
        </w:rPr>
        <w:t>长沙市芙蓉区律政服务大楼21楼2111室</w:t>
      </w:r>
      <w:r>
        <w:rPr>
          <w:rFonts w:hint="eastAsia" w:ascii="宋体" w:hAnsi="宋体" w:eastAsia="宋体" w:cs="宋体"/>
          <w:sz w:val="24"/>
          <w:szCs w:val="24"/>
        </w:rPr>
        <w:t>。在截止时间后送达的响应文件为无效文件，采购人、采购代理机构或者磋商小组应当拒收。</w:t>
      </w:r>
    </w:p>
    <w:p w14:paraId="12A37018">
      <w:pPr>
        <w:tabs>
          <w:tab w:val="left" w:pos="360"/>
        </w:tabs>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2、首次响应文件的开启时间及地点与提交首次响应文件的截止时间及地点为同一时间及地点。</w:t>
      </w:r>
    </w:p>
    <w:p w14:paraId="12A0FC4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六、采购项目联系人姓名和电话</w:t>
      </w:r>
    </w:p>
    <w:p w14:paraId="48F26E89">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采购人：湖南省商务厅</w:t>
      </w:r>
    </w:p>
    <w:p w14:paraId="4384D051">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地  </w:t>
      </w:r>
      <w:r>
        <w:rPr>
          <w:rFonts w:hint="eastAsia" w:ascii="宋体" w:hAnsi="宋体" w:eastAsia="宋体" w:cs="宋体"/>
          <w:color w:val="auto"/>
          <w:sz w:val="24"/>
          <w:szCs w:val="24"/>
          <w:highlight w:val="none"/>
          <w:lang w:eastAsia="zh-CN"/>
        </w:rPr>
        <w:t>址：长沙市芙蓉区五一大道98号</w:t>
      </w:r>
    </w:p>
    <w:p w14:paraId="6C1FE43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杨女士</w:t>
      </w:r>
    </w:p>
    <w:p w14:paraId="7C6BB60A">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话：0731-82287112</w:t>
      </w:r>
    </w:p>
    <w:p w14:paraId="592E1E8F">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采购代理机构名称：湖南天舟招标代理有限公司</w:t>
      </w:r>
    </w:p>
    <w:p w14:paraId="428E6F6A">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长沙市芙蓉区律政服务大楼21楼2111室</w:t>
      </w:r>
    </w:p>
    <w:p w14:paraId="026B10B5">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万玮琪 李紫仪</w:t>
      </w:r>
      <w:r>
        <w:rPr>
          <w:rFonts w:hint="eastAsia" w:ascii="宋体" w:hAnsi="宋体" w:eastAsia="宋体" w:cs="宋体"/>
          <w:color w:val="auto"/>
          <w:sz w:val="24"/>
          <w:szCs w:val="24"/>
          <w:highlight w:val="none"/>
        </w:rPr>
        <w:t xml:space="preserve">   </w:t>
      </w:r>
    </w:p>
    <w:p w14:paraId="641019AC">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电话：0731-85118391</w:t>
      </w:r>
    </w:p>
    <w:p w14:paraId="07C9DEB0">
      <w:pPr>
        <w:rPr>
          <w:rFonts w:cs="Times New Roman"/>
          <w:szCs w:val="24"/>
        </w:rPr>
      </w:pPr>
    </w:p>
    <w:p w14:paraId="1643E595">
      <w:pPr>
        <w:pStyle w:val="11"/>
        <w:jc w:val="center"/>
        <w:rPr>
          <w:rFonts w:hAnsi="宋体"/>
          <w:b/>
          <w:bCs/>
          <w:color w:val="auto"/>
          <w:sz w:val="32"/>
          <w:szCs w:val="32"/>
          <w:highlight w:val="none"/>
        </w:rPr>
      </w:pPr>
    </w:p>
    <w:p w14:paraId="7A1545CA">
      <w:pPr>
        <w:pStyle w:val="11"/>
        <w:ind w:firstLine="3534" w:firstLineChars="1100"/>
        <w:rPr>
          <w:rFonts w:hAnsi="宋体"/>
          <w:b/>
          <w:bCs/>
          <w:color w:val="auto"/>
          <w:sz w:val="32"/>
          <w:szCs w:val="32"/>
          <w:highlight w:val="none"/>
        </w:rPr>
      </w:pPr>
    </w:p>
    <w:p w14:paraId="41A7364F">
      <w:pPr>
        <w:pStyle w:val="11"/>
        <w:ind w:firstLine="3534" w:firstLineChars="1100"/>
        <w:rPr>
          <w:rFonts w:hAnsi="宋体"/>
          <w:b/>
          <w:bCs/>
          <w:color w:val="auto"/>
          <w:sz w:val="32"/>
          <w:szCs w:val="32"/>
          <w:highlight w:val="none"/>
        </w:rPr>
      </w:pPr>
    </w:p>
    <w:p w14:paraId="5A6555FB">
      <w:pPr>
        <w:pStyle w:val="11"/>
        <w:ind w:firstLine="3534" w:firstLineChars="1100"/>
        <w:rPr>
          <w:rFonts w:hAnsi="宋体"/>
          <w:b/>
          <w:bCs/>
          <w:color w:val="auto"/>
          <w:sz w:val="32"/>
          <w:szCs w:val="32"/>
          <w:highlight w:val="none"/>
        </w:rPr>
      </w:pPr>
    </w:p>
    <w:p w14:paraId="60C4E68C">
      <w:pPr>
        <w:pStyle w:val="11"/>
        <w:ind w:firstLine="3534" w:firstLineChars="1100"/>
        <w:rPr>
          <w:rFonts w:hAnsi="宋体"/>
          <w:b/>
          <w:bCs/>
          <w:color w:val="auto"/>
          <w:sz w:val="32"/>
          <w:szCs w:val="32"/>
          <w:highlight w:val="none"/>
        </w:rPr>
      </w:pPr>
    </w:p>
    <w:p w14:paraId="43C65B08">
      <w:pPr>
        <w:pStyle w:val="11"/>
        <w:ind w:firstLine="3534" w:firstLineChars="1100"/>
        <w:rPr>
          <w:rFonts w:hAnsi="宋体"/>
          <w:b/>
          <w:bCs/>
          <w:color w:val="auto"/>
          <w:sz w:val="32"/>
          <w:szCs w:val="32"/>
          <w:highlight w:val="none"/>
        </w:rPr>
      </w:pPr>
    </w:p>
    <w:p w14:paraId="0955C3E6">
      <w:pPr>
        <w:pStyle w:val="11"/>
        <w:ind w:firstLine="3534" w:firstLineChars="1100"/>
        <w:rPr>
          <w:rFonts w:hAnsi="宋体"/>
          <w:b/>
          <w:bCs/>
          <w:color w:val="auto"/>
          <w:sz w:val="32"/>
          <w:szCs w:val="32"/>
          <w:highlight w:val="none"/>
        </w:rPr>
      </w:pPr>
    </w:p>
    <w:p w14:paraId="3DB1BDB3">
      <w:pPr>
        <w:pStyle w:val="11"/>
        <w:ind w:firstLine="3534" w:firstLineChars="1100"/>
        <w:rPr>
          <w:rFonts w:hAnsi="宋体"/>
          <w:b/>
          <w:bCs/>
          <w:color w:val="auto"/>
          <w:sz w:val="32"/>
          <w:szCs w:val="32"/>
          <w:highlight w:val="none"/>
        </w:rPr>
      </w:pPr>
    </w:p>
    <w:p w14:paraId="15F11431">
      <w:pPr>
        <w:pStyle w:val="11"/>
        <w:ind w:firstLine="3534" w:firstLineChars="1100"/>
        <w:rPr>
          <w:rFonts w:hAnsi="宋体"/>
          <w:b/>
          <w:bCs/>
          <w:color w:val="auto"/>
          <w:sz w:val="32"/>
          <w:szCs w:val="32"/>
          <w:highlight w:val="none"/>
        </w:rPr>
      </w:pPr>
    </w:p>
    <w:p w14:paraId="7006EA2B">
      <w:pPr>
        <w:pStyle w:val="11"/>
        <w:ind w:firstLine="3534" w:firstLineChars="1100"/>
        <w:rPr>
          <w:rFonts w:hAnsi="宋体"/>
          <w:b/>
          <w:bCs/>
          <w:color w:val="auto"/>
          <w:sz w:val="32"/>
          <w:szCs w:val="32"/>
          <w:highlight w:val="none"/>
        </w:rPr>
      </w:pPr>
    </w:p>
    <w:p w14:paraId="00C2C37E">
      <w:pPr>
        <w:rPr>
          <w:rFonts w:hint="eastAsia" w:hAnsi="宋体"/>
          <w:b/>
          <w:bCs/>
          <w:color w:val="auto"/>
          <w:sz w:val="32"/>
          <w:szCs w:val="32"/>
          <w:highlight w:val="none"/>
        </w:rPr>
      </w:pPr>
    </w:p>
    <w:p w14:paraId="5E4BF6AA">
      <w:pPr>
        <w:pStyle w:val="11"/>
        <w:ind w:firstLine="3534" w:firstLineChars="1100"/>
        <w:rPr>
          <w:rFonts w:hAnsi="宋体"/>
          <w:b/>
          <w:bCs/>
          <w:color w:val="auto"/>
          <w:sz w:val="32"/>
          <w:szCs w:val="32"/>
          <w:highlight w:val="none"/>
        </w:rPr>
      </w:pPr>
      <w:r>
        <w:rPr>
          <w:rFonts w:hint="eastAsia" w:hAnsi="宋体"/>
          <w:b/>
          <w:bCs/>
          <w:color w:val="auto"/>
          <w:sz w:val="32"/>
          <w:szCs w:val="32"/>
          <w:highlight w:val="none"/>
        </w:rPr>
        <w:t>第二章 磋商须知</w:t>
      </w:r>
    </w:p>
    <w:p w14:paraId="11F75AF4">
      <w:pPr>
        <w:pStyle w:val="11"/>
        <w:rPr>
          <w:rFonts w:hAnsi="宋体"/>
          <w:b/>
          <w:bCs/>
          <w:color w:val="auto"/>
          <w:sz w:val="24"/>
          <w:szCs w:val="24"/>
          <w:highlight w:val="none"/>
        </w:rPr>
      </w:pPr>
      <w:r>
        <w:rPr>
          <w:rFonts w:hint="eastAsia" w:hAnsi="宋体"/>
          <w:b/>
          <w:bCs/>
          <w:color w:val="auto"/>
          <w:sz w:val="24"/>
          <w:szCs w:val="24"/>
          <w:highlight w:val="none"/>
        </w:rPr>
        <w:t>磋商须知前附表</w:t>
      </w:r>
    </w:p>
    <w:p w14:paraId="2DF321EE">
      <w:pPr>
        <w:pStyle w:val="11"/>
        <w:rPr>
          <w:rFonts w:hAnsi="宋体"/>
          <w:color w:val="auto"/>
          <w:highlight w:val="none"/>
        </w:rPr>
      </w:pPr>
      <w:r>
        <w:rPr>
          <w:rFonts w:hint="eastAsia" w:hAnsi="宋体"/>
          <w:color w:val="auto"/>
          <w:highlight w:val="none"/>
        </w:rPr>
        <w:t>注：请在方框□内划√选择，在“条款号”内限选一项。（本项目采用的条款用“■”标示）</w:t>
      </w:r>
    </w:p>
    <w:tbl>
      <w:tblPr>
        <w:tblStyle w:val="21"/>
        <w:tblW w:w="931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44"/>
        <w:gridCol w:w="1425"/>
        <w:gridCol w:w="6044"/>
      </w:tblGrid>
      <w:tr w14:paraId="39C79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1844" w:type="dxa"/>
            <w:tcBorders>
              <w:top w:val="double" w:color="auto" w:sz="4" w:space="0"/>
            </w:tcBorders>
            <w:vAlign w:val="center"/>
          </w:tcPr>
          <w:p w14:paraId="115B21E8">
            <w:pPr>
              <w:spacing w:line="360" w:lineRule="auto"/>
              <w:contextualSpacing/>
              <w:jc w:val="center"/>
              <w:rPr>
                <w:rFonts w:ascii="宋体" w:hAnsi="宋体" w:cs="宋体"/>
                <w:b/>
                <w:bCs/>
                <w:color w:val="auto"/>
                <w:highlight w:val="none"/>
              </w:rPr>
            </w:pPr>
            <w:r>
              <w:rPr>
                <w:rFonts w:hint="eastAsia" w:ascii="宋体" w:hAnsi="宋体" w:cs="宋体"/>
                <w:b/>
                <w:bCs/>
                <w:color w:val="auto"/>
                <w:highlight w:val="none"/>
              </w:rPr>
              <w:t>条款号</w:t>
            </w:r>
          </w:p>
        </w:tc>
        <w:tc>
          <w:tcPr>
            <w:tcW w:w="1425" w:type="dxa"/>
            <w:tcBorders>
              <w:top w:val="double" w:color="auto" w:sz="4" w:space="0"/>
            </w:tcBorders>
            <w:vAlign w:val="center"/>
          </w:tcPr>
          <w:p w14:paraId="6378657E">
            <w:pPr>
              <w:spacing w:line="360" w:lineRule="auto"/>
              <w:contextualSpacing/>
              <w:jc w:val="center"/>
              <w:rPr>
                <w:rFonts w:ascii="宋体" w:hAnsi="宋体" w:cs="宋体"/>
                <w:b/>
                <w:bCs/>
                <w:color w:val="auto"/>
                <w:highlight w:val="none"/>
              </w:rPr>
            </w:pPr>
            <w:r>
              <w:rPr>
                <w:rFonts w:hint="eastAsia" w:ascii="宋体" w:hAnsi="宋体" w:cs="宋体"/>
                <w:b/>
                <w:bCs/>
                <w:color w:val="auto"/>
                <w:highlight w:val="none"/>
              </w:rPr>
              <w:t>条款名称</w:t>
            </w:r>
          </w:p>
        </w:tc>
        <w:tc>
          <w:tcPr>
            <w:tcW w:w="6044" w:type="dxa"/>
            <w:tcBorders>
              <w:top w:val="double" w:color="auto" w:sz="4" w:space="0"/>
            </w:tcBorders>
            <w:vAlign w:val="center"/>
          </w:tcPr>
          <w:p w14:paraId="40CF0E96">
            <w:pPr>
              <w:spacing w:line="360" w:lineRule="auto"/>
              <w:contextualSpacing/>
              <w:jc w:val="center"/>
              <w:rPr>
                <w:rFonts w:ascii="宋体" w:hAnsi="宋体" w:cs="宋体"/>
                <w:b/>
                <w:bCs/>
                <w:color w:val="auto"/>
                <w:highlight w:val="none"/>
              </w:rPr>
            </w:pPr>
            <w:r>
              <w:rPr>
                <w:rFonts w:hint="eastAsia" w:ascii="宋体" w:hAnsi="宋体" w:cs="宋体"/>
                <w:b/>
                <w:bCs/>
                <w:color w:val="auto"/>
                <w:highlight w:val="none"/>
              </w:rPr>
              <w:t>编列内容规定</w:t>
            </w:r>
          </w:p>
        </w:tc>
      </w:tr>
      <w:tr w14:paraId="4356D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313" w:type="dxa"/>
            <w:gridSpan w:val="3"/>
            <w:vAlign w:val="center"/>
          </w:tcPr>
          <w:p w14:paraId="3C2205F4">
            <w:pPr>
              <w:spacing w:line="360" w:lineRule="auto"/>
              <w:contextualSpacing/>
              <w:rPr>
                <w:rFonts w:ascii="宋体" w:hAnsi="宋体" w:cs="宋体"/>
                <w:color w:val="auto"/>
                <w:highlight w:val="none"/>
              </w:rPr>
            </w:pPr>
            <w:r>
              <w:rPr>
                <w:rFonts w:hint="eastAsia" w:ascii="宋体" w:hAnsi="宋体" w:cs="宋体"/>
                <w:b/>
                <w:bCs/>
                <w:color w:val="auto"/>
                <w:highlight w:val="none"/>
              </w:rPr>
              <w:t>一、说明</w:t>
            </w:r>
          </w:p>
        </w:tc>
      </w:tr>
      <w:tr w14:paraId="527D42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44" w:type="dxa"/>
            <w:vAlign w:val="center"/>
          </w:tcPr>
          <w:p w14:paraId="5CD20909">
            <w:pPr>
              <w:spacing w:line="360" w:lineRule="auto"/>
              <w:contextualSpacing/>
              <w:rPr>
                <w:rFonts w:ascii="宋体" w:hAnsi="宋体" w:cs="宋体"/>
                <w:color w:val="auto"/>
                <w:highlight w:val="none"/>
              </w:rPr>
            </w:pPr>
            <w:r>
              <w:rPr>
                <w:rFonts w:hint="eastAsia" w:ascii="宋体" w:hAnsi="宋体" w:cs="宋体"/>
                <w:color w:val="auto"/>
                <w:highlight w:val="none"/>
              </w:rPr>
              <w:t>第二章第1.1款</w:t>
            </w:r>
          </w:p>
        </w:tc>
        <w:tc>
          <w:tcPr>
            <w:tcW w:w="1425" w:type="dxa"/>
            <w:vAlign w:val="center"/>
          </w:tcPr>
          <w:p w14:paraId="7C6F193B">
            <w:pPr>
              <w:spacing w:line="360" w:lineRule="auto"/>
              <w:contextualSpacing/>
              <w:rPr>
                <w:rFonts w:ascii="宋体" w:hAnsi="宋体" w:cs="宋体"/>
                <w:color w:val="auto"/>
                <w:highlight w:val="none"/>
              </w:rPr>
            </w:pPr>
            <w:r>
              <w:rPr>
                <w:rFonts w:hint="eastAsia" w:ascii="宋体" w:hAnsi="宋体" w:cs="宋体"/>
                <w:color w:val="auto"/>
                <w:highlight w:val="none"/>
              </w:rPr>
              <w:t>采购项目</w:t>
            </w:r>
          </w:p>
        </w:tc>
        <w:tc>
          <w:tcPr>
            <w:tcW w:w="6044" w:type="dxa"/>
            <w:vAlign w:val="center"/>
          </w:tcPr>
          <w:p w14:paraId="5809A39C">
            <w:pPr>
              <w:spacing w:line="360" w:lineRule="auto"/>
              <w:contextualSpacing/>
              <w:rPr>
                <w:rFonts w:hint="eastAsia" w:ascii="宋体" w:hAnsi="宋体" w:eastAsia="宋体" w:cs="宋体"/>
                <w:color w:val="auto"/>
                <w:highlight w:val="none"/>
                <w:lang w:eastAsia="zh-CN"/>
              </w:rPr>
            </w:pPr>
            <w:r>
              <w:rPr>
                <w:rFonts w:hint="eastAsia" w:ascii="宋体" w:hAnsi="宋体" w:cs="宋体"/>
                <w:color w:val="auto"/>
                <w:highlight w:val="none"/>
                <w:lang w:eastAsia="zh-CN"/>
              </w:rPr>
              <w:t>中非经贸博览会走进进博会专场推介会会务服务项目</w:t>
            </w:r>
          </w:p>
        </w:tc>
      </w:tr>
      <w:tr w14:paraId="3C40D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44" w:type="dxa"/>
            <w:vAlign w:val="center"/>
          </w:tcPr>
          <w:p w14:paraId="4FF3AC94">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第二章第2.1款</w:t>
            </w:r>
          </w:p>
        </w:tc>
        <w:tc>
          <w:tcPr>
            <w:tcW w:w="1425" w:type="dxa"/>
            <w:vAlign w:val="center"/>
          </w:tcPr>
          <w:p w14:paraId="303D2543">
            <w:pPr>
              <w:spacing w:line="360" w:lineRule="auto"/>
              <w:contextualSpacing/>
              <w:rPr>
                <w:rFonts w:ascii="宋体" w:hAnsi="宋体" w:cs="宋体"/>
                <w:color w:val="auto"/>
                <w:highlight w:val="none"/>
              </w:rPr>
            </w:pPr>
            <w:r>
              <w:rPr>
                <w:rFonts w:hint="eastAsia" w:ascii="宋体" w:hAnsi="宋体" w:cs="宋体"/>
                <w:color w:val="auto"/>
                <w:highlight w:val="none"/>
              </w:rPr>
              <w:t>采购人</w:t>
            </w:r>
          </w:p>
        </w:tc>
        <w:tc>
          <w:tcPr>
            <w:tcW w:w="6044" w:type="dxa"/>
            <w:vAlign w:val="center"/>
          </w:tcPr>
          <w:p w14:paraId="4EC515CD">
            <w:pPr>
              <w:spacing w:line="360" w:lineRule="auto"/>
              <w:rPr>
                <w:color w:val="auto"/>
                <w:highlight w:val="none"/>
              </w:rPr>
            </w:pPr>
            <w:r>
              <w:rPr>
                <w:rFonts w:hint="eastAsia"/>
                <w:color w:val="auto"/>
                <w:highlight w:val="none"/>
              </w:rPr>
              <w:t>名  称：湖南省商务厅</w:t>
            </w:r>
          </w:p>
          <w:p w14:paraId="27FD6B1D">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联系人：</w:t>
            </w:r>
            <w:r>
              <w:rPr>
                <w:rFonts w:hint="eastAsia" w:ascii="宋体" w:hAnsi="宋体" w:eastAsia="宋体" w:cs="宋体"/>
                <w:color w:val="auto"/>
                <w:highlight w:val="none"/>
                <w:lang w:val="en-US" w:eastAsia="zh-CN"/>
              </w:rPr>
              <w:t>杨女士</w:t>
            </w:r>
          </w:p>
          <w:p w14:paraId="42851947">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电  话：0731-82287112</w:t>
            </w:r>
          </w:p>
          <w:p w14:paraId="4DFCF1E1">
            <w:pPr>
              <w:spacing w:line="360" w:lineRule="auto"/>
              <w:rPr>
                <w:color w:val="auto"/>
                <w:highlight w:val="none"/>
              </w:rPr>
            </w:pPr>
            <w:r>
              <w:rPr>
                <w:rFonts w:hint="eastAsia"/>
                <w:color w:val="auto"/>
                <w:highlight w:val="none"/>
              </w:rPr>
              <w:t>地  址: 长沙市芙蓉区五一大道98号</w:t>
            </w:r>
          </w:p>
        </w:tc>
      </w:tr>
      <w:tr w14:paraId="3AE94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44" w:type="dxa"/>
            <w:vAlign w:val="center"/>
          </w:tcPr>
          <w:p w14:paraId="1FE91544">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第二章第2.2款</w:t>
            </w:r>
          </w:p>
        </w:tc>
        <w:tc>
          <w:tcPr>
            <w:tcW w:w="1425" w:type="dxa"/>
            <w:vAlign w:val="center"/>
          </w:tcPr>
          <w:p w14:paraId="7D95855E">
            <w:pPr>
              <w:spacing w:line="360" w:lineRule="auto"/>
              <w:contextualSpacing/>
              <w:rPr>
                <w:rFonts w:ascii="宋体" w:hAnsi="宋体" w:cs="宋体"/>
                <w:color w:val="auto"/>
                <w:highlight w:val="none"/>
              </w:rPr>
            </w:pPr>
            <w:r>
              <w:rPr>
                <w:rFonts w:hint="eastAsia" w:ascii="宋体" w:hAnsi="宋体" w:cs="宋体"/>
                <w:color w:val="auto"/>
                <w:highlight w:val="none"/>
              </w:rPr>
              <w:t>采购代理机构</w:t>
            </w:r>
          </w:p>
        </w:tc>
        <w:tc>
          <w:tcPr>
            <w:tcW w:w="6044" w:type="dxa"/>
            <w:vAlign w:val="center"/>
          </w:tcPr>
          <w:p w14:paraId="1FDD9444">
            <w:pPr>
              <w:spacing w:line="360" w:lineRule="auto"/>
              <w:rPr>
                <w:color w:val="auto"/>
                <w:highlight w:val="none"/>
              </w:rPr>
            </w:pPr>
            <w:r>
              <w:rPr>
                <w:rFonts w:hint="eastAsia"/>
                <w:color w:val="auto"/>
                <w:highlight w:val="none"/>
              </w:rPr>
              <w:t>名称：湖南天舟招标代理有限公司</w:t>
            </w:r>
          </w:p>
          <w:p w14:paraId="12E6A0E3">
            <w:pPr>
              <w:spacing w:line="360" w:lineRule="auto"/>
              <w:rPr>
                <w:rFonts w:hint="eastAsia" w:ascii="宋体" w:hAnsi="宋体" w:eastAsia="宋体" w:cs="宋体"/>
                <w:color w:val="auto"/>
                <w:highlight w:val="none"/>
                <w:lang w:eastAsia="zh-CN"/>
              </w:rPr>
            </w:pPr>
            <w:r>
              <w:rPr>
                <w:rFonts w:hint="eastAsia"/>
                <w:color w:val="auto"/>
                <w:highlight w:val="none"/>
              </w:rPr>
              <w:t>地址</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长沙市芙蓉区律政服务大楼21楼2111室</w:t>
            </w:r>
          </w:p>
          <w:p w14:paraId="5A6C9CC4">
            <w:pPr>
              <w:spacing w:line="360" w:lineRule="auto"/>
              <w:rPr>
                <w:rFonts w:hint="eastAsia" w:ascii="宋体" w:hAnsi="宋体" w:eastAsia="宋体" w:cs="宋体"/>
                <w:color w:val="auto"/>
                <w:highlight w:val="none"/>
              </w:rPr>
            </w:pPr>
            <w:bookmarkStart w:id="2" w:name="_Hlk55144497"/>
            <w:r>
              <w:rPr>
                <w:rFonts w:hint="eastAsia" w:ascii="宋体" w:hAnsi="宋体" w:eastAsia="宋体" w:cs="宋体"/>
                <w:color w:val="auto"/>
                <w:highlight w:val="none"/>
              </w:rPr>
              <w:t>联系人：</w:t>
            </w:r>
            <w:r>
              <w:rPr>
                <w:rFonts w:hint="eastAsia" w:ascii="宋体" w:hAnsi="宋体" w:cs="宋体"/>
                <w:color w:val="auto"/>
                <w:highlight w:val="none"/>
                <w:lang w:val="en-US" w:eastAsia="zh-CN"/>
              </w:rPr>
              <w:t>万玮琪</w:t>
            </w:r>
            <w:r>
              <w:rPr>
                <w:rFonts w:hint="eastAsia" w:ascii="宋体" w:hAnsi="宋体" w:cs="宋体"/>
                <w:color w:val="auto"/>
                <w:highlight w:val="none"/>
                <w:lang w:eastAsia="zh-CN"/>
              </w:rPr>
              <w:t xml:space="preserve"> 李紫仪</w:t>
            </w:r>
            <w:r>
              <w:rPr>
                <w:rFonts w:hint="eastAsia" w:ascii="宋体" w:hAnsi="宋体" w:eastAsia="宋体" w:cs="宋体"/>
                <w:color w:val="auto"/>
                <w:highlight w:val="none"/>
              </w:rPr>
              <w:t xml:space="preserve">  </w:t>
            </w:r>
          </w:p>
          <w:p w14:paraId="59054CDE">
            <w:pPr>
              <w:spacing w:line="360" w:lineRule="auto"/>
              <w:rPr>
                <w:color w:val="auto"/>
                <w:highlight w:val="none"/>
              </w:rPr>
            </w:pPr>
            <w:r>
              <w:rPr>
                <w:rFonts w:hint="eastAsia" w:ascii="宋体" w:hAnsi="宋体" w:eastAsia="宋体" w:cs="宋体"/>
                <w:color w:val="auto"/>
                <w:highlight w:val="none"/>
              </w:rPr>
              <w:t>电话：0731-85118391</w:t>
            </w:r>
            <w:bookmarkEnd w:id="2"/>
          </w:p>
        </w:tc>
      </w:tr>
      <w:tr w14:paraId="3ADC7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96" w:hRule="atLeast"/>
          <w:jc w:val="center"/>
        </w:trPr>
        <w:tc>
          <w:tcPr>
            <w:tcW w:w="1844" w:type="dxa"/>
            <w:vAlign w:val="center"/>
          </w:tcPr>
          <w:p w14:paraId="493832C2">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第二章第2.3款</w:t>
            </w:r>
          </w:p>
        </w:tc>
        <w:tc>
          <w:tcPr>
            <w:tcW w:w="1425" w:type="dxa"/>
            <w:vAlign w:val="center"/>
          </w:tcPr>
          <w:p w14:paraId="2F9BBCB4">
            <w:pPr>
              <w:spacing w:line="360" w:lineRule="auto"/>
              <w:contextualSpacing/>
              <w:rPr>
                <w:rFonts w:ascii="宋体" w:hAnsi="宋体" w:cs="宋体"/>
                <w:color w:val="auto"/>
                <w:highlight w:val="none"/>
              </w:rPr>
            </w:pPr>
            <w:r>
              <w:rPr>
                <w:rFonts w:hint="eastAsia" w:ascii="宋体" w:hAnsi="宋体" w:cs="宋体"/>
                <w:color w:val="auto"/>
                <w:kern w:val="0"/>
                <w:highlight w:val="none"/>
              </w:rPr>
              <w:t>供应商的</w:t>
            </w:r>
            <w:r>
              <w:rPr>
                <w:rFonts w:hint="eastAsia" w:ascii="宋体" w:hAnsi="宋体" w:cs="宋体"/>
                <w:color w:val="auto"/>
                <w:highlight w:val="none"/>
              </w:rPr>
              <w:t>邀请方式</w:t>
            </w:r>
          </w:p>
        </w:tc>
        <w:tc>
          <w:tcPr>
            <w:tcW w:w="6044" w:type="dxa"/>
            <w:vAlign w:val="center"/>
          </w:tcPr>
          <w:p w14:paraId="406DE0C9">
            <w:pPr>
              <w:spacing w:line="360" w:lineRule="auto"/>
              <w:contextualSpacing/>
              <w:rPr>
                <w:rFonts w:ascii="宋体" w:hAnsi="宋体" w:cs="宋体"/>
                <w:color w:val="auto"/>
                <w:highlight w:val="none"/>
              </w:rPr>
            </w:pPr>
            <w:r>
              <w:rPr>
                <w:rFonts w:hint="eastAsia" w:ascii="宋体" w:hAnsi="宋体" w:cs="宋体"/>
                <w:color w:val="auto"/>
                <w:highlight w:val="none"/>
              </w:rPr>
              <w:t>■发布公告</w:t>
            </w:r>
          </w:p>
          <w:p w14:paraId="406AB0A4">
            <w:pPr>
              <w:spacing w:line="360" w:lineRule="auto"/>
              <w:contextualSpacing/>
              <w:rPr>
                <w:rFonts w:ascii="宋体" w:hAnsi="宋体" w:cs="宋体"/>
                <w:color w:val="auto"/>
                <w:highlight w:val="none"/>
              </w:rPr>
            </w:pPr>
            <w:r>
              <w:rPr>
                <w:rFonts w:hint="eastAsia" w:ascii="宋体" w:hAnsi="宋体" w:cs="宋体"/>
                <w:color w:val="auto"/>
                <w:highlight w:val="none"/>
              </w:rPr>
              <w:t>□从省级以上财政部门建立的供应商库中随机抽取</w:t>
            </w:r>
          </w:p>
          <w:p w14:paraId="4EAA6FD1">
            <w:pPr>
              <w:spacing w:line="360" w:lineRule="auto"/>
              <w:contextualSpacing/>
              <w:rPr>
                <w:rFonts w:ascii="宋体" w:hAnsi="宋体" w:cs="宋体"/>
                <w:color w:val="auto"/>
                <w:highlight w:val="none"/>
              </w:rPr>
            </w:pPr>
            <w:r>
              <w:rPr>
                <w:rFonts w:hint="eastAsia" w:ascii="宋体" w:hAnsi="宋体" w:cs="宋体"/>
                <w:color w:val="auto"/>
                <w:highlight w:val="none"/>
              </w:rPr>
              <w:t>□采购人和评审专家分别书面推荐的方式</w:t>
            </w:r>
          </w:p>
        </w:tc>
      </w:tr>
      <w:tr w14:paraId="54917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44" w:type="dxa"/>
            <w:vAlign w:val="center"/>
          </w:tcPr>
          <w:p w14:paraId="57AB59CD">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第二章第3.1款</w:t>
            </w:r>
          </w:p>
        </w:tc>
        <w:tc>
          <w:tcPr>
            <w:tcW w:w="1425" w:type="dxa"/>
            <w:vAlign w:val="center"/>
          </w:tcPr>
          <w:p w14:paraId="0C0D381B">
            <w:pPr>
              <w:spacing w:line="360" w:lineRule="auto"/>
              <w:contextualSpacing/>
              <w:rPr>
                <w:rFonts w:ascii="宋体" w:hAnsi="宋体" w:cs="宋体"/>
                <w:color w:val="auto"/>
                <w:highlight w:val="none"/>
              </w:rPr>
            </w:pPr>
            <w:r>
              <w:rPr>
                <w:rFonts w:hint="eastAsia" w:ascii="宋体" w:hAnsi="宋体" w:cs="宋体"/>
                <w:color w:val="auto"/>
                <w:highlight w:val="none"/>
              </w:rPr>
              <w:t>供应商资格条件</w:t>
            </w:r>
          </w:p>
        </w:tc>
        <w:tc>
          <w:tcPr>
            <w:tcW w:w="6044" w:type="dxa"/>
            <w:vAlign w:val="center"/>
          </w:tcPr>
          <w:p w14:paraId="36E142BA">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1、基本资格条件：</w:t>
            </w:r>
          </w:p>
          <w:p w14:paraId="263510F7">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（1）法人提交企业法人营业执照副本（或法人登记证）复印件；</w:t>
            </w:r>
          </w:p>
          <w:p w14:paraId="1B2477CF">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（2）法人提交法定代表人身份证明原件或者委托代理人提供法定代表人授权委托书原件并附法定代表人身份证明原件；</w:t>
            </w:r>
          </w:p>
          <w:p w14:paraId="20F02817">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（3）提供《湖南省政府采购供应商资格承诺函》（格式见附件）</w:t>
            </w:r>
            <w:r>
              <w:rPr>
                <w:rFonts w:hint="eastAsia" w:ascii="宋体" w:hAnsi="宋体" w:eastAsia="宋体" w:cs="宋体"/>
                <w:color w:val="auto"/>
                <w:highlight w:val="none"/>
                <w:lang w:val="en-US" w:eastAsia="zh-CN"/>
              </w:rPr>
              <w:t>。</w:t>
            </w:r>
          </w:p>
          <w:p w14:paraId="6EE4A154">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2、供应商特定资格条件：</w:t>
            </w:r>
            <w:r>
              <w:rPr>
                <w:rFonts w:hint="eastAsia" w:ascii="宋体" w:hAnsi="宋体" w:eastAsia="宋体" w:cs="宋体"/>
                <w:color w:val="auto"/>
                <w:highlight w:val="none"/>
                <w:lang w:val="en-US" w:eastAsia="zh-CN"/>
              </w:rPr>
              <w:t>提供标前诚信承诺书（格式见附件）。</w:t>
            </w:r>
          </w:p>
        </w:tc>
      </w:tr>
      <w:tr w14:paraId="62DBD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844" w:type="dxa"/>
            <w:vAlign w:val="center"/>
          </w:tcPr>
          <w:p w14:paraId="20DF3EBD">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第二章第6.1款</w:t>
            </w:r>
          </w:p>
        </w:tc>
        <w:tc>
          <w:tcPr>
            <w:tcW w:w="1425" w:type="dxa"/>
            <w:vAlign w:val="center"/>
          </w:tcPr>
          <w:p w14:paraId="24BECE2D">
            <w:pPr>
              <w:spacing w:line="360" w:lineRule="auto"/>
              <w:contextualSpacing/>
              <w:rPr>
                <w:rFonts w:ascii="宋体" w:hAnsi="宋体" w:cs="宋体"/>
                <w:color w:val="auto"/>
                <w:highlight w:val="none"/>
              </w:rPr>
            </w:pPr>
            <w:r>
              <w:rPr>
                <w:rFonts w:hint="eastAsia" w:ascii="宋体" w:hAnsi="宋体" w:cs="宋体"/>
                <w:color w:val="auto"/>
                <w:highlight w:val="none"/>
              </w:rPr>
              <w:t>联合体形式</w:t>
            </w:r>
          </w:p>
        </w:tc>
        <w:tc>
          <w:tcPr>
            <w:tcW w:w="6044" w:type="dxa"/>
            <w:vAlign w:val="center"/>
          </w:tcPr>
          <w:p w14:paraId="74B1BBF4">
            <w:pPr>
              <w:spacing w:line="360" w:lineRule="auto"/>
              <w:contextualSpacing/>
              <w:rPr>
                <w:rFonts w:ascii="宋体" w:hAnsi="宋体" w:cs="宋体"/>
                <w:color w:val="auto"/>
                <w:highlight w:val="none"/>
              </w:rPr>
            </w:pPr>
            <w:r>
              <w:rPr>
                <w:rFonts w:hint="eastAsia" w:ascii="宋体" w:hAnsi="宋体" w:cs="宋体"/>
                <w:color w:val="auto"/>
                <w:highlight w:val="none"/>
              </w:rPr>
              <w:t>■不接受</w:t>
            </w:r>
          </w:p>
          <w:p w14:paraId="17C9D3A3">
            <w:pPr>
              <w:spacing w:line="360" w:lineRule="auto"/>
              <w:contextualSpacing/>
              <w:rPr>
                <w:rFonts w:ascii="宋体" w:hAnsi="宋体" w:cs="宋体"/>
                <w:color w:val="auto"/>
                <w:highlight w:val="none"/>
              </w:rPr>
            </w:pPr>
            <w:r>
              <w:rPr>
                <w:rFonts w:hint="eastAsia" w:ascii="宋体" w:hAnsi="宋体" w:cs="宋体"/>
                <w:color w:val="auto"/>
                <w:highlight w:val="none"/>
              </w:rPr>
              <w:t>□接受</w:t>
            </w:r>
          </w:p>
        </w:tc>
      </w:tr>
      <w:tr w14:paraId="5A54D7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7" w:hRule="atLeast"/>
          <w:jc w:val="center"/>
        </w:trPr>
        <w:tc>
          <w:tcPr>
            <w:tcW w:w="1844" w:type="dxa"/>
            <w:vAlign w:val="center"/>
          </w:tcPr>
          <w:p w14:paraId="653609E8">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第二章第6.2款</w:t>
            </w:r>
          </w:p>
        </w:tc>
        <w:tc>
          <w:tcPr>
            <w:tcW w:w="1425" w:type="dxa"/>
            <w:vAlign w:val="center"/>
          </w:tcPr>
          <w:p w14:paraId="338BB48F">
            <w:pPr>
              <w:spacing w:line="360" w:lineRule="auto"/>
              <w:contextualSpacing/>
              <w:rPr>
                <w:rFonts w:ascii="宋体" w:hAnsi="宋体" w:cs="宋体"/>
                <w:color w:val="auto"/>
                <w:highlight w:val="none"/>
              </w:rPr>
            </w:pPr>
            <w:r>
              <w:rPr>
                <w:rFonts w:hint="eastAsia" w:ascii="宋体" w:hAnsi="宋体" w:cs="宋体"/>
                <w:color w:val="auto"/>
                <w:highlight w:val="none"/>
              </w:rPr>
              <w:t>对联合体各方的要求</w:t>
            </w:r>
          </w:p>
        </w:tc>
        <w:tc>
          <w:tcPr>
            <w:tcW w:w="6044" w:type="dxa"/>
            <w:vAlign w:val="center"/>
          </w:tcPr>
          <w:p w14:paraId="30CFDD96">
            <w:pPr>
              <w:spacing w:line="360" w:lineRule="auto"/>
              <w:contextualSpacing/>
              <w:rPr>
                <w:rFonts w:ascii="宋体" w:hAnsi="宋体" w:cs="宋体"/>
                <w:color w:val="auto"/>
                <w:highlight w:val="none"/>
              </w:rPr>
            </w:pPr>
            <w:r>
              <w:rPr>
                <w:rFonts w:hint="eastAsia" w:ascii="宋体" w:hAnsi="宋体" w:cs="宋体"/>
                <w:color w:val="auto"/>
                <w:highlight w:val="none"/>
              </w:rPr>
              <w:t>无</w:t>
            </w:r>
          </w:p>
        </w:tc>
      </w:tr>
      <w:tr w14:paraId="10F6ED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844" w:type="dxa"/>
            <w:vAlign w:val="center"/>
          </w:tcPr>
          <w:p w14:paraId="2F5797C3">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第二章第7.1款</w:t>
            </w:r>
          </w:p>
        </w:tc>
        <w:tc>
          <w:tcPr>
            <w:tcW w:w="1425" w:type="dxa"/>
            <w:vAlign w:val="center"/>
          </w:tcPr>
          <w:p w14:paraId="1B2545E4">
            <w:pPr>
              <w:spacing w:line="360" w:lineRule="auto"/>
              <w:contextualSpacing/>
              <w:rPr>
                <w:rFonts w:ascii="宋体" w:hAnsi="宋体" w:cs="宋体"/>
                <w:color w:val="auto"/>
                <w:highlight w:val="none"/>
              </w:rPr>
            </w:pPr>
            <w:r>
              <w:rPr>
                <w:rFonts w:hint="eastAsia" w:ascii="宋体" w:hAnsi="宋体" w:cs="宋体"/>
                <w:color w:val="auto"/>
                <w:highlight w:val="none"/>
              </w:rPr>
              <w:t>现场勘察</w:t>
            </w:r>
          </w:p>
        </w:tc>
        <w:tc>
          <w:tcPr>
            <w:tcW w:w="6044" w:type="dxa"/>
            <w:vAlign w:val="center"/>
          </w:tcPr>
          <w:p w14:paraId="172BA6EA">
            <w:pPr>
              <w:spacing w:line="360" w:lineRule="auto"/>
              <w:contextualSpacing/>
              <w:rPr>
                <w:rFonts w:ascii="宋体" w:hAnsi="宋体" w:cs="宋体"/>
                <w:color w:val="auto"/>
                <w:highlight w:val="none"/>
              </w:rPr>
            </w:pPr>
            <w:r>
              <w:rPr>
                <w:rFonts w:hint="eastAsia" w:ascii="宋体" w:hAnsi="宋体" w:cs="宋体"/>
                <w:color w:val="auto"/>
                <w:highlight w:val="none"/>
              </w:rPr>
              <w:t>■采购人不组织，但供应商在磋商前应自行对实地进行勘察，了解工作量。</w:t>
            </w:r>
          </w:p>
          <w:p w14:paraId="27394FE7">
            <w:pPr>
              <w:spacing w:line="360" w:lineRule="auto"/>
              <w:contextualSpacing/>
              <w:rPr>
                <w:rFonts w:ascii="宋体" w:hAnsi="宋体" w:cs="宋体"/>
                <w:color w:val="auto"/>
                <w:highlight w:val="none"/>
              </w:rPr>
            </w:pPr>
            <w:r>
              <w:rPr>
                <w:rFonts w:hint="eastAsia" w:ascii="宋体" w:hAnsi="宋体" w:cs="宋体"/>
                <w:color w:val="auto"/>
                <w:highlight w:val="none"/>
              </w:rPr>
              <w:t>□采购人组织，时间：地点：联系人：</w:t>
            </w:r>
          </w:p>
        </w:tc>
      </w:tr>
      <w:tr w14:paraId="5DFFDD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1844" w:type="dxa"/>
            <w:vAlign w:val="center"/>
          </w:tcPr>
          <w:p w14:paraId="48F56347">
            <w:pPr>
              <w:contextualSpacing/>
              <w:rPr>
                <w:rFonts w:ascii="宋体" w:hAnsi="宋体" w:cs="宋体"/>
                <w:color w:val="auto"/>
                <w:highlight w:val="none"/>
              </w:rPr>
            </w:pPr>
            <w:r>
              <w:rPr>
                <w:rFonts w:hint="eastAsia" w:ascii="宋体" w:hAnsi="宋体" w:cs="宋体"/>
                <w:color w:val="auto"/>
                <w:highlight w:val="none"/>
              </w:rPr>
              <w:t>第二章第8.1款</w:t>
            </w:r>
          </w:p>
        </w:tc>
        <w:tc>
          <w:tcPr>
            <w:tcW w:w="1425" w:type="dxa"/>
            <w:vAlign w:val="center"/>
          </w:tcPr>
          <w:p w14:paraId="1B5E23AE">
            <w:pPr>
              <w:contextualSpacing/>
              <w:rPr>
                <w:rFonts w:ascii="宋体" w:hAnsi="宋体" w:cs="宋体"/>
                <w:color w:val="auto"/>
                <w:highlight w:val="none"/>
              </w:rPr>
            </w:pPr>
            <w:r>
              <w:rPr>
                <w:rFonts w:hint="eastAsia" w:ascii="宋体" w:hAnsi="宋体" w:cs="宋体"/>
                <w:color w:val="auto"/>
                <w:highlight w:val="none"/>
              </w:rPr>
              <w:t>采购进口产品</w:t>
            </w:r>
          </w:p>
        </w:tc>
        <w:tc>
          <w:tcPr>
            <w:tcW w:w="6044" w:type="dxa"/>
            <w:vAlign w:val="center"/>
          </w:tcPr>
          <w:p w14:paraId="25EEF9CB">
            <w:pPr>
              <w:spacing w:line="360" w:lineRule="auto"/>
              <w:contextualSpacing/>
              <w:rPr>
                <w:rFonts w:ascii="宋体" w:hAnsi="宋体" w:cs="宋体"/>
                <w:color w:val="auto"/>
                <w:highlight w:val="none"/>
              </w:rPr>
            </w:pPr>
            <w:r>
              <w:rPr>
                <w:rFonts w:hint="eastAsia" w:ascii="宋体" w:hAnsi="宋体" w:cs="宋体"/>
                <w:color w:val="auto"/>
                <w:highlight w:val="none"/>
              </w:rPr>
              <w:t>■本项目拒绝采购进口产品</w:t>
            </w:r>
          </w:p>
          <w:p w14:paraId="045C682C">
            <w:pPr>
              <w:contextualSpacing/>
              <w:rPr>
                <w:rFonts w:ascii="宋体" w:hAnsi="宋体" w:cs="宋体"/>
                <w:color w:val="auto"/>
                <w:highlight w:val="none"/>
              </w:rPr>
            </w:pPr>
            <w:r>
              <w:rPr>
                <w:rFonts w:hint="eastAsia" w:ascii="宋体" w:hAnsi="宋体" w:cs="宋体"/>
                <w:color w:val="auto"/>
                <w:highlight w:val="none"/>
              </w:rPr>
              <w:t>□本项目已经财政部门审核同意购买进口产品</w:t>
            </w:r>
          </w:p>
        </w:tc>
      </w:tr>
      <w:tr w14:paraId="6241E2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313" w:type="dxa"/>
            <w:gridSpan w:val="3"/>
            <w:vAlign w:val="center"/>
          </w:tcPr>
          <w:p w14:paraId="0A95EE38">
            <w:pPr>
              <w:spacing w:line="360" w:lineRule="auto"/>
              <w:contextualSpacing/>
              <w:rPr>
                <w:rFonts w:ascii="宋体" w:hAnsi="宋体" w:cs="宋体"/>
                <w:b/>
                <w:bCs/>
                <w:color w:val="auto"/>
                <w:highlight w:val="none"/>
              </w:rPr>
            </w:pPr>
            <w:r>
              <w:rPr>
                <w:rFonts w:hint="eastAsia" w:ascii="宋体" w:hAnsi="宋体" w:cs="宋体"/>
                <w:b/>
                <w:bCs/>
                <w:color w:val="auto"/>
                <w:highlight w:val="none"/>
              </w:rPr>
              <w:t>二、磋商文件</w:t>
            </w:r>
          </w:p>
        </w:tc>
      </w:tr>
      <w:tr w14:paraId="047846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844" w:type="dxa"/>
            <w:vAlign w:val="center"/>
          </w:tcPr>
          <w:p w14:paraId="084A3A4C">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第二章第10.2款</w:t>
            </w:r>
          </w:p>
        </w:tc>
        <w:tc>
          <w:tcPr>
            <w:tcW w:w="1425" w:type="dxa"/>
            <w:vAlign w:val="center"/>
          </w:tcPr>
          <w:p w14:paraId="27948F6A">
            <w:pPr>
              <w:spacing w:line="360" w:lineRule="auto"/>
              <w:contextualSpacing/>
              <w:jc w:val="left"/>
              <w:rPr>
                <w:rFonts w:ascii="宋体" w:hAnsi="宋体" w:cs="宋体"/>
                <w:color w:val="auto"/>
                <w:highlight w:val="none"/>
              </w:rPr>
            </w:pPr>
            <w:r>
              <w:rPr>
                <w:rFonts w:hint="eastAsia" w:ascii="宋体" w:hAnsi="宋体" w:cs="宋体"/>
                <w:color w:val="auto"/>
                <w:highlight w:val="none"/>
              </w:rPr>
              <w:t>磋商文件的可能实质性变动内容</w:t>
            </w:r>
          </w:p>
        </w:tc>
        <w:tc>
          <w:tcPr>
            <w:tcW w:w="6044" w:type="dxa"/>
            <w:vAlign w:val="center"/>
          </w:tcPr>
          <w:p w14:paraId="0BEB915E">
            <w:pPr>
              <w:spacing w:line="360" w:lineRule="auto"/>
              <w:contextualSpacing/>
              <w:jc w:val="left"/>
              <w:rPr>
                <w:rFonts w:hint="eastAsia" w:ascii="宋体" w:hAnsi="宋体" w:cs="宋体"/>
                <w:color w:val="auto"/>
                <w:highlight w:val="none"/>
              </w:rPr>
            </w:pPr>
            <w:r>
              <w:rPr>
                <w:rFonts w:hint="eastAsia" w:ascii="宋体" w:hAnsi="宋体" w:cs="宋体"/>
                <w:color w:val="auto"/>
                <w:highlight w:val="none"/>
              </w:rPr>
              <w:t>技术、</w:t>
            </w:r>
            <w:r>
              <w:rPr>
                <w:rFonts w:hint="eastAsia" w:ascii="宋体" w:hAnsi="宋体" w:cs="宋体"/>
                <w:color w:val="auto"/>
                <w:highlight w:val="none"/>
                <w:lang w:eastAsia="zh-CN"/>
              </w:rPr>
              <w:t>商务</w:t>
            </w:r>
            <w:r>
              <w:rPr>
                <w:rFonts w:hint="eastAsia" w:ascii="宋体" w:hAnsi="宋体" w:cs="宋体"/>
                <w:color w:val="auto"/>
                <w:highlight w:val="none"/>
              </w:rPr>
              <w:t>、合同条款</w:t>
            </w:r>
          </w:p>
        </w:tc>
      </w:tr>
      <w:tr w14:paraId="0A6038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1844" w:type="dxa"/>
            <w:vAlign w:val="center"/>
          </w:tcPr>
          <w:p w14:paraId="5BD556A3">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第二章第11.1款</w:t>
            </w:r>
          </w:p>
        </w:tc>
        <w:tc>
          <w:tcPr>
            <w:tcW w:w="1425" w:type="dxa"/>
            <w:vAlign w:val="center"/>
          </w:tcPr>
          <w:p w14:paraId="60611905">
            <w:pPr>
              <w:spacing w:line="360" w:lineRule="auto"/>
              <w:contextualSpacing/>
              <w:jc w:val="left"/>
              <w:rPr>
                <w:rFonts w:ascii="宋体" w:hAnsi="宋体" w:cs="宋体"/>
                <w:color w:val="auto"/>
                <w:highlight w:val="none"/>
              </w:rPr>
            </w:pPr>
            <w:r>
              <w:rPr>
                <w:rFonts w:hint="eastAsia" w:ascii="宋体" w:hAnsi="宋体" w:cs="宋体"/>
                <w:color w:val="auto"/>
                <w:highlight w:val="none"/>
              </w:rPr>
              <w:t>提供磋商文件期限</w:t>
            </w:r>
          </w:p>
        </w:tc>
        <w:tc>
          <w:tcPr>
            <w:tcW w:w="6044" w:type="dxa"/>
            <w:vAlign w:val="center"/>
          </w:tcPr>
          <w:p w14:paraId="7D4840A7">
            <w:pPr>
              <w:spacing w:line="360" w:lineRule="auto"/>
              <w:contextualSpacing/>
              <w:jc w:val="left"/>
              <w:rPr>
                <w:rFonts w:hint="eastAsia" w:ascii="宋体" w:hAnsi="宋体" w:cs="宋体"/>
                <w:color w:val="auto"/>
                <w:highlight w:val="none"/>
              </w:rPr>
            </w:pPr>
            <w:r>
              <w:rPr>
                <w:rFonts w:hint="eastAsia" w:ascii="宋体" w:hAnsi="宋体" w:eastAsia="宋体" w:cs="宋体"/>
                <w:sz w:val="21"/>
                <w:szCs w:val="21"/>
                <w:u w:val="none"/>
              </w:rPr>
              <w:t>202</w:t>
            </w: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年</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none"/>
              </w:rPr>
              <w:t>月</w:t>
            </w:r>
            <w:r>
              <w:rPr>
                <w:rFonts w:hint="eastAsia" w:ascii="宋体" w:hAnsi="宋体" w:cs="宋体"/>
                <w:sz w:val="21"/>
                <w:szCs w:val="21"/>
                <w:u w:val="non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none"/>
              </w:rPr>
              <w:t>日起至202</w:t>
            </w:r>
            <w:r>
              <w:rPr>
                <w:rFonts w:hint="eastAsia" w:ascii="宋体" w:hAnsi="宋体" w:eastAsia="宋体" w:cs="宋体"/>
                <w:sz w:val="21"/>
                <w:szCs w:val="21"/>
                <w:u w:val="none"/>
                <w:lang w:val="en-US" w:eastAsia="zh-CN"/>
              </w:rPr>
              <w:t>5</w:t>
            </w:r>
            <w:r>
              <w:rPr>
                <w:rFonts w:hint="eastAsia" w:ascii="宋体" w:hAnsi="宋体" w:eastAsia="宋体" w:cs="宋体"/>
                <w:sz w:val="21"/>
                <w:szCs w:val="21"/>
                <w:u w:val="none"/>
              </w:rPr>
              <w:t>年</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日</w:t>
            </w:r>
            <w:r>
              <w:rPr>
                <w:rFonts w:hint="eastAsia" w:ascii="宋体" w:hAnsi="宋体" w:cs="宋体"/>
                <w:color w:val="auto"/>
                <w:sz w:val="21"/>
                <w:szCs w:val="21"/>
                <w:highlight w:val="none"/>
              </w:rPr>
              <w:t>(节假日除外)</w:t>
            </w:r>
          </w:p>
        </w:tc>
      </w:tr>
      <w:tr w14:paraId="783C96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1844" w:type="dxa"/>
            <w:vAlign w:val="center"/>
          </w:tcPr>
          <w:p w14:paraId="52440793">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第二章第11.2款</w:t>
            </w:r>
          </w:p>
        </w:tc>
        <w:tc>
          <w:tcPr>
            <w:tcW w:w="1425" w:type="dxa"/>
            <w:vAlign w:val="center"/>
          </w:tcPr>
          <w:p w14:paraId="55F719AE">
            <w:pPr>
              <w:spacing w:line="360" w:lineRule="auto"/>
              <w:contextualSpacing/>
              <w:jc w:val="left"/>
              <w:rPr>
                <w:rFonts w:ascii="宋体" w:hAnsi="宋体" w:cs="宋体"/>
                <w:color w:val="auto"/>
                <w:highlight w:val="none"/>
              </w:rPr>
            </w:pPr>
            <w:r>
              <w:rPr>
                <w:rFonts w:hint="eastAsia" w:ascii="宋体" w:hAnsi="宋体" w:cs="宋体"/>
                <w:color w:val="auto"/>
                <w:highlight w:val="none"/>
              </w:rPr>
              <w:t>购买磋商文件时应提供的资料</w:t>
            </w:r>
          </w:p>
        </w:tc>
        <w:tc>
          <w:tcPr>
            <w:tcW w:w="6044" w:type="dxa"/>
            <w:vAlign w:val="center"/>
          </w:tcPr>
          <w:p w14:paraId="264994AC">
            <w:pPr>
              <w:spacing w:line="360" w:lineRule="auto"/>
              <w:contextualSpacing/>
              <w:jc w:val="left"/>
              <w:rPr>
                <w:rFonts w:hint="eastAsia" w:ascii="宋体" w:hAnsi="宋体" w:cs="宋体"/>
                <w:color w:val="auto"/>
                <w:highlight w:val="none"/>
              </w:rPr>
            </w:pPr>
            <w:r>
              <w:rPr>
                <w:rFonts w:hint="eastAsia" w:ascii="宋体" w:hAnsi="宋体" w:cs="宋体"/>
                <w:color w:val="auto"/>
                <w:highlight w:val="none"/>
              </w:rPr>
              <w:t>个人身份证、法定代表人身份证明(或者授权委托书并附法定代表人身份证明)。</w:t>
            </w:r>
          </w:p>
        </w:tc>
      </w:tr>
      <w:tr w14:paraId="799DE0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844" w:type="dxa"/>
            <w:vAlign w:val="center"/>
          </w:tcPr>
          <w:p w14:paraId="7A476CD4">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第二章第12.1款</w:t>
            </w:r>
          </w:p>
        </w:tc>
        <w:tc>
          <w:tcPr>
            <w:tcW w:w="1425" w:type="dxa"/>
            <w:vAlign w:val="center"/>
          </w:tcPr>
          <w:p w14:paraId="40D23257">
            <w:pPr>
              <w:spacing w:line="360" w:lineRule="auto"/>
              <w:contextualSpacing/>
              <w:rPr>
                <w:rFonts w:ascii="宋体" w:hAnsi="宋体" w:cs="宋体"/>
                <w:color w:val="auto"/>
                <w:highlight w:val="none"/>
              </w:rPr>
            </w:pPr>
            <w:r>
              <w:rPr>
                <w:rFonts w:hint="eastAsia" w:ascii="宋体" w:hAnsi="宋体" w:cs="宋体"/>
                <w:color w:val="auto"/>
                <w:highlight w:val="none"/>
              </w:rPr>
              <w:t>提交首次响应文件的截止时间</w:t>
            </w:r>
          </w:p>
        </w:tc>
        <w:tc>
          <w:tcPr>
            <w:tcW w:w="6044" w:type="dxa"/>
            <w:vAlign w:val="center"/>
          </w:tcPr>
          <w:p w14:paraId="3A7FB936">
            <w:pPr>
              <w:spacing w:line="360" w:lineRule="auto"/>
              <w:contextualSpacing/>
              <w:jc w:val="left"/>
              <w:rPr>
                <w:rFonts w:hint="eastAsia" w:ascii="宋体" w:hAnsi="宋体" w:cs="宋体"/>
                <w:color w:val="auto"/>
                <w:highlight w:val="none"/>
              </w:rPr>
            </w:pPr>
            <w:r>
              <w:rPr>
                <w:rFonts w:hint="eastAsia" w:ascii="宋体" w:hAnsi="宋体" w:eastAsia="宋体" w:cs="宋体"/>
                <w:sz w:val="21"/>
                <w:szCs w:val="21"/>
              </w:rPr>
              <w:t>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日</w:t>
            </w:r>
            <w:r>
              <w:rPr>
                <w:rFonts w:hint="eastAsia" w:ascii="宋体" w:hAnsi="宋体" w:cs="宋体"/>
                <w:sz w:val="21"/>
                <w:szCs w:val="21"/>
                <w:u w:val="single"/>
                <w:lang w:val="en-US" w:eastAsia="zh-CN"/>
              </w:rPr>
              <w:t>09</w:t>
            </w:r>
            <w:r>
              <w:rPr>
                <w:rFonts w:hint="eastAsia" w:ascii="宋体" w:hAnsi="宋体" w:cs="宋体"/>
                <w:sz w:val="21"/>
                <w:szCs w:val="21"/>
                <w:lang w:val="en-US" w:eastAsia="zh-CN"/>
              </w:rPr>
              <w:t xml:space="preserve"> </w:t>
            </w:r>
            <w:r>
              <w:rPr>
                <w:rFonts w:hint="eastAsia" w:ascii="宋体" w:hAnsi="宋体" w:eastAsia="宋体" w:cs="宋体"/>
                <w:sz w:val="21"/>
                <w:szCs w:val="21"/>
              </w:rPr>
              <w:t>时</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30</w:t>
            </w:r>
            <w:r>
              <w:rPr>
                <w:rFonts w:hint="eastAsia" w:ascii="宋体" w:hAnsi="宋体" w:eastAsia="宋体" w:cs="宋体"/>
                <w:sz w:val="21"/>
                <w:szCs w:val="21"/>
              </w:rPr>
              <w:t>分</w:t>
            </w:r>
            <w:r>
              <w:rPr>
                <w:rFonts w:hint="eastAsia" w:ascii="宋体" w:hAnsi="宋体" w:cs="宋体"/>
                <w:color w:val="auto"/>
                <w:sz w:val="21"/>
                <w:szCs w:val="21"/>
                <w:highlight w:val="none"/>
              </w:rPr>
              <w:t>(北京时间)</w:t>
            </w:r>
          </w:p>
        </w:tc>
      </w:tr>
      <w:tr w14:paraId="4562F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313" w:type="dxa"/>
            <w:gridSpan w:val="3"/>
            <w:vAlign w:val="center"/>
          </w:tcPr>
          <w:p w14:paraId="712C7CF8">
            <w:pPr>
              <w:spacing w:line="360" w:lineRule="auto"/>
              <w:contextualSpacing/>
              <w:rPr>
                <w:rFonts w:ascii="宋体" w:hAnsi="宋体" w:cs="宋体"/>
                <w:color w:val="auto"/>
                <w:highlight w:val="none"/>
              </w:rPr>
            </w:pPr>
            <w:r>
              <w:rPr>
                <w:rFonts w:hint="eastAsia" w:ascii="宋体" w:hAnsi="宋体" w:cs="宋体"/>
                <w:b/>
                <w:bCs/>
                <w:color w:val="auto"/>
                <w:highlight w:val="none"/>
              </w:rPr>
              <w:t>三、响应文件的编写</w:t>
            </w:r>
          </w:p>
        </w:tc>
      </w:tr>
      <w:tr w14:paraId="4F5898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44" w:type="dxa"/>
            <w:vAlign w:val="center"/>
          </w:tcPr>
          <w:p w14:paraId="505FEC8E">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第二章第16.4款</w:t>
            </w:r>
          </w:p>
        </w:tc>
        <w:tc>
          <w:tcPr>
            <w:tcW w:w="1425" w:type="dxa"/>
            <w:vAlign w:val="center"/>
          </w:tcPr>
          <w:p w14:paraId="2B934CD0">
            <w:pPr>
              <w:pStyle w:val="36"/>
              <w:ind w:firstLine="0" w:firstLineChars="0"/>
              <w:rPr>
                <w:rFonts w:ascii="宋体" w:hAnsi="宋体" w:cs="宋体"/>
                <w:color w:val="auto"/>
                <w:highlight w:val="none"/>
              </w:rPr>
            </w:pPr>
            <w:r>
              <w:rPr>
                <w:rFonts w:hint="eastAsia" w:ascii="宋体" w:hAnsi="宋体" w:cs="宋体"/>
                <w:color w:val="auto"/>
                <w:highlight w:val="none"/>
              </w:rPr>
              <w:t>采购预算</w:t>
            </w:r>
          </w:p>
        </w:tc>
        <w:tc>
          <w:tcPr>
            <w:tcW w:w="6044" w:type="dxa"/>
            <w:vAlign w:val="center"/>
          </w:tcPr>
          <w:p w14:paraId="04553489">
            <w:pPr>
              <w:pStyle w:val="36"/>
              <w:ind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采购项目预算：</w:t>
            </w:r>
            <w:r>
              <w:rPr>
                <w:rFonts w:hint="eastAsia" w:ascii="宋体" w:hAnsi="宋体" w:eastAsia="宋体" w:cs="宋体"/>
                <w:b w:val="0"/>
                <w:bCs w:val="0"/>
                <w:color w:val="auto"/>
                <w:highlight w:val="none"/>
                <w:lang w:val="en-US" w:eastAsia="zh-CN"/>
              </w:rPr>
              <w:t>226700</w:t>
            </w:r>
            <w:r>
              <w:rPr>
                <w:rFonts w:hint="eastAsia" w:ascii="宋体" w:hAnsi="宋体" w:eastAsia="宋体" w:cs="宋体"/>
                <w:b w:val="0"/>
                <w:bCs w:val="0"/>
                <w:color w:val="auto"/>
                <w:highlight w:val="none"/>
                <w:lang w:eastAsia="zh-CN"/>
              </w:rPr>
              <w:t>元</w:t>
            </w:r>
          </w:p>
          <w:p w14:paraId="2A36FABF">
            <w:pPr>
              <w:pStyle w:val="36"/>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预算控制价：</w:t>
            </w:r>
            <w:r>
              <w:rPr>
                <w:rFonts w:hint="eastAsia" w:ascii="宋体" w:hAnsi="宋体" w:eastAsia="宋体" w:cs="宋体"/>
                <w:b w:val="0"/>
                <w:bCs w:val="0"/>
                <w:color w:val="auto"/>
                <w:highlight w:val="none"/>
                <w:lang w:val="en-US" w:eastAsia="zh-CN"/>
              </w:rPr>
              <w:t>222510元</w:t>
            </w:r>
          </w:p>
          <w:p w14:paraId="23EC2908">
            <w:pPr>
              <w:pStyle w:val="36"/>
              <w:ind w:firstLine="0" w:firstLineChars="0"/>
              <w:rPr>
                <w:rFonts w:ascii="宋体" w:hAnsi="宋体" w:cs="宋体"/>
                <w:color w:val="auto"/>
                <w:highlight w:val="none"/>
              </w:rPr>
            </w:pPr>
            <w:r>
              <w:rPr>
                <w:rFonts w:hint="eastAsia" w:ascii="宋体" w:hAnsi="宋体" w:eastAsia="宋体" w:cs="宋体"/>
                <w:b/>
                <w:bCs/>
                <w:color w:val="auto"/>
                <w:highlight w:val="none"/>
              </w:rPr>
              <w:t>说明：供应商的报价不得超过预算控制价，否则响应无效</w:t>
            </w:r>
            <w:r>
              <w:rPr>
                <w:rFonts w:hint="eastAsia" w:ascii="宋体" w:hAnsi="宋体" w:cs="宋体"/>
                <w:b/>
                <w:bCs/>
                <w:color w:val="auto"/>
                <w:highlight w:val="none"/>
              </w:rPr>
              <w:t>。</w:t>
            </w:r>
          </w:p>
        </w:tc>
      </w:tr>
      <w:tr w14:paraId="66BF85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00" w:hRule="atLeast"/>
          <w:jc w:val="center"/>
        </w:trPr>
        <w:tc>
          <w:tcPr>
            <w:tcW w:w="1844" w:type="dxa"/>
            <w:vAlign w:val="center"/>
          </w:tcPr>
          <w:p w14:paraId="368882FA">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第二章第19.1款</w:t>
            </w:r>
          </w:p>
        </w:tc>
        <w:tc>
          <w:tcPr>
            <w:tcW w:w="1425" w:type="dxa"/>
            <w:vAlign w:val="center"/>
          </w:tcPr>
          <w:p w14:paraId="11D0A580">
            <w:pPr>
              <w:spacing w:line="360" w:lineRule="auto"/>
              <w:ind w:left="-533" w:leftChars="-254" w:firstLine="533" w:firstLineChars="254"/>
              <w:contextualSpacing/>
              <w:rPr>
                <w:rFonts w:ascii="宋体" w:hAnsi="宋体" w:cs="宋体"/>
                <w:color w:val="auto"/>
                <w:highlight w:val="none"/>
              </w:rPr>
            </w:pPr>
            <w:r>
              <w:rPr>
                <w:rFonts w:hint="eastAsia" w:ascii="宋体" w:hAnsi="宋体" w:cs="宋体"/>
                <w:color w:val="auto"/>
                <w:highlight w:val="none"/>
              </w:rPr>
              <w:t>磋商保证金</w:t>
            </w:r>
          </w:p>
        </w:tc>
        <w:tc>
          <w:tcPr>
            <w:tcW w:w="6044" w:type="dxa"/>
            <w:vAlign w:val="center"/>
          </w:tcPr>
          <w:p w14:paraId="427E4E78">
            <w:pPr>
              <w:spacing w:beforeLines="50" w:line="360" w:lineRule="auto"/>
              <w:ind w:right="23" w:rightChars="11"/>
              <w:contextualSpacing/>
              <w:rPr>
                <w:rFonts w:ascii="宋体" w:hAnsi="宋体" w:cs="宋体"/>
                <w:color w:val="auto"/>
                <w:highlight w:val="none"/>
              </w:rPr>
            </w:pPr>
            <w:r>
              <w:rPr>
                <w:rFonts w:hint="eastAsia" w:ascii="宋体" w:hAnsi="宋体" w:cs="宋体"/>
                <w:color w:val="auto"/>
                <w:highlight w:val="none"/>
              </w:rPr>
              <w:t>■不要求提供</w:t>
            </w:r>
          </w:p>
          <w:p w14:paraId="14C8003F">
            <w:pPr>
              <w:spacing w:beforeLines="50" w:line="360" w:lineRule="auto"/>
              <w:ind w:right="23" w:rightChars="11"/>
              <w:contextualSpacing/>
              <w:rPr>
                <w:rFonts w:ascii="宋体" w:hAnsi="宋体" w:cs="宋体"/>
                <w:color w:val="auto"/>
                <w:highlight w:val="none"/>
              </w:rPr>
            </w:pPr>
            <w:r>
              <w:rPr>
                <w:rFonts w:hint="eastAsia" w:ascii="宋体" w:hAnsi="宋体" w:cs="宋体"/>
                <w:color w:val="auto"/>
                <w:highlight w:val="none"/>
              </w:rPr>
              <w:t>□要求提供：</w:t>
            </w:r>
          </w:p>
        </w:tc>
      </w:tr>
      <w:tr w14:paraId="467A4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44" w:type="dxa"/>
            <w:vAlign w:val="center"/>
          </w:tcPr>
          <w:p w14:paraId="453D1E53">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第二章第20.1款</w:t>
            </w:r>
          </w:p>
        </w:tc>
        <w:tc>
          <w:tcPr>
            <w:tcW w:w="1425" w:type="dxa"/>
            <w:vAlign w:val="center"/>
          </w:tcPr>
          <w:p w14:paraId="65343475">
            <w:pPr>
              <w:spacing w:line="360" w:lineRule="auto"/>
              <w:contextualSpacing/>
              <w:rPr>
                <w:rFonts w:ascii="宋体" w:hAnsi="宋体" w:cs="宋体"/>
                <w:color w:val="auto"/>
                <w:highlight w:val="none"/>
              </w:rPr>
            </w:pPr>
            <w:r>
              <w:rPr>
                <w:rFonts w:hint="eastAsia" w:ascii="宋体" w:hAnsi="宋体" w:cs="宋体"/>
                <w:color w:val="auto"/>
                <w:highlight w:val="none"/>
              </w:rPr>
              <w:t>响应文件有效期</w:t>
            </w:r>
          </w:p>
        </w:tc>
        <w:tc>
          <w:tcPr>
            <w:tcW w:w="6044" w:type="dxa"/>
            <w:vAlign w:val="center"/>
          </w:tcPr>
          <w:p w14:paraId="6CD19CEF">
            <w:pPr>
              <w:spacing w:line="360" w:lineRule="auto"/>
              <w:contextualSpacing/>
              <w:rPr>
                <w:rFonts w:ascii="宋体" w:hAnsi="宋体" w:cs="宋体"/>
                <w:color w:val="auto"/>
                <w:highlight w:val="none"/>
              </w:rPr>
            </w:pPr>
            <w:r>
              <w:rPr>
                <w:rFonts w:hint="eastAsia" w:ascii="宋体" w:hAnsi="宋体" w:cs="宋体"/>
                <w:color w:val="auto"/>
                <w:highlight w:val="none"/>
                <w:u w:val="single"/>
              </w:rPr>
              <w:t xml:space="preserve">  60  </w:t>
            </w:r>
            <w:r>
              <w:rPr>
                <w:rFonts w:hint="eastAsia" w:ascii="宋体" w:hAnsi="宋体" w:cs="宋体"/>
                <w:color w:val="auto"/>
                <w:highlight w:val="none"/>
              </w:rPr>
              <w:t>日（日历日）</w:t>
            </w:r>
          </w:p>
        </w:tc>
      </w:tr>
      <w:tr w14:paraId="3B9496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44" w:type="dxa"/>
            <w:vAlign w:val="center"/>
          </w:tcPr>
          <w:p w14:paraId="0886D3D0">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第二章第21.1款</w:t>
            </w:r>
          </w:p>
        </w:tc>
        <w:tc>
          <w:tcPr>
            <w:tcW w:w="1425" w:type="dxa"/>
            <w:vAlign w:val="center"/>
          </w:tcPr>
          <w:p w14:paraId="63900338">
            <w:pPr>
              <w:spacing w:line="360" w:lineRule="auto"/>
              <w:contextualSpacing/>
              <w:rPr>
                <w:rFonts w:ascii="宋体" w:hAnsi="宋体" w:cs="宋体"/>
                <w:color w:val="auto"/>
                <w:highlight w:val="none"/>
              </w:rPr>
            </w:pPr>
            <w:r>
              <w:rPr>
                <w:rFonts w:hint="eastAsia" w:ascii="宋体" w:hAnsi="宋体" w:cs="宋体"/>
                <w:color w:val="auto"/>
                <w:highlight w:val="none"/>
              </w:rPr>
              <w:t>响应文件副本份数</w:t>
            </w:r>
          </w:p>
        </w:tc>
        <w:tc>
          <w:tcPr>
            <w:tcW w:w="6044" w:type="dxa"/>
            <w:vAlign w:val="center"/>
          </w:tcPr>
          <w:p w14:paraId="7303274D">
            <w:pPr>
              <w:spacing w:line="360" w:lineRule="auto"/>
              <w:contextualSpacing/>
              <w:rPr>
                <w:rFonts w:ascii="宋体" w:hAnsi="宋体" w:cs="宋体"/>
                <w:color w:val="auto"/>
                <w:highlight w:val="none"/>
              </w:rPr>
            </w:pPr>
            <w:r>
              <w:rPr>
                <w:rFonts w:hint="eastAsia" w:ascii="宋体" w:hAnsi="宋体" w:cs="宋体"/>
                <w:color w:val="auto"/>
                <w:highlight w:val="none"/>
              </w:rPr>
              <w:t>1、纸质文件贰份</w:t>
            </w:r>
          </w:p>
          <w:p w14:paraId="2D5C0CA4">
            <w:pPr>
              <w:spacing w:line="360" w:lineRule="auto"/>
              <w:contextualSpacing/>
              <w:rPr>
                <w:rFonts w:ascii="宋体" w:hAnsi="宋体" w:cs="宋体"/>
                <w:color w:val="auto"/>
                <w:highlight w:val="none"/>
              </w:rPr>
            </w:pPr>
            <w:r>
              <w:rPr>
                <w:rFonts w:hint="eastAsia" w:ascii="宋体" w:hAnsi="宋体" w:cs="宋体"/>
                <w:color w:val="auto"/>
                <w:highlight w:val="none"/>
              </w:rPr>
              <w:t>2、电子文件壹份（U盘）,单独密封递交。</w:t>
            </w:r>
          </w:p>
        </w:tc>
      </w:tr>
      <w:tr w14:paraId="7B28E5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313" w:type="dxa"/>
            <w:gridSpan w:val="3"/>
            <w:vAlign w:val="center"/>
          </w:tcPr>
          <w:p w14:paraId="5DB6FA63">
            <w:pPr>
              <w:spacing w:line="360" w:lineRule="auto"/>
              <w:contextualSpacing/>
              <w:rPr>
                <w:rFonts w:ascii="宋体" w:hAnsi="宋体" w:cs="宋体"/>
                <w:b/>
                <w:bCs/>
                <w:color w:val="auto"/>
                <w:highlight w:val="none"/>
              </w:rPr>
            </w:pPr>
            <w:r>
              <w:rPr>
                <w:rFonts w:hint="eastAsia" w:ascii="宋体" w:hAnsi="宋体" w:cs="宋体"/>
                <w:b/>
                <w:bCs/>
                <w:color w:val="auto"/>
                <w:highlight w:val="none"/>
              </w:rPr>
              <w:t>四、响应文件的递交</w:t>
            </w:r>
          </w:p>
        </w:tc>
      </w:tr>
      <w:tr w14:paraId="72067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 w:hRule="atLeast"/>
          <w:jc w:val="center"/>
        </w:trPr>
        <w:tc>
          <w:tcPr>
            <w:tcW w:w="1844" w:type="dxa"/>
            <w:vAlign w:val="center"/>
          </w:tcPr>
          <w:p w14:paraId="5611993D">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第二章第22.2款</w:t>
            </w:r>
          </w:p>
        </w:tc>
        <w:tc>
          <w:tcPr>
            <w:tcW w:w="1425" w:type="dxa"/>
            <w:vAlign w:val="center"/>
          </w:tcPr>
          <w:p w14:paraId="42A251ED">
            <w:pPr>
              <w:spacing w:line="360" w:lineRule="auto"/>
              <w:contextualSpacing/>
              <w:rPr>
                <w:rFonts w:ascii="宋体" w:hAnsi="宋体" w:cs="宋体"/>
                <w:color w:val="auto"/>
                <w:highlight w:val="none"/>
              </w:rPr>
            </w:pPr>
            <w:r>
              <w:rPr>
                <w:rFonts w:hint="eastAsia" w:ascii="宋体" w:hAnsi="宋体" w:cs="宋体"/>
                <w:color w:val="auto"/>
                <w:highlight w:val="none"/>
              </w:rPr>
              <w:t>封套上应载明的信息</w:t>
            </w:r>
          </w:p>
        </w:tc>
        <w:tc>
          <w:tcPr>
            <w:tcW w:w="6044" w:type="dxa"/>
            <w:vAlign w:val="center"/>
          </w:tcPr>
          <w:p w14:paraId="62875FFC">
            <w:pPr>
              <w:spacing w:beforeLines="50" w:line="360" w:lineRule="auto"/>
              <w:ind w:right="23" w:rightChars="11"/>
              <w:contextualSpacing/>
              <w:rPr>
                <w:rFonts w:ascii="宋体" w:hAnsi="宋体" w:cs="宋体"/>
                <w:color w:val="auto"/>
                <w:highlight w:val="none"/>
              </w:rPr>
            </w:pPr>
            <w:r>
              <w:rPr>
                <w:rFonts w:hint="eastAsia" w:ascii="宋体" w:hAnsi="宋体" w:cs="宋体"/>
                <w:color w:val="auto"/>
                <w:highlight w:val="none"/>
                <w:lang w:eastAsia="zh-CN"/>
              </w:rPr>
              <w:t>中非经贸博览会走进进博会专场推介会会务服务项目</w:t>
            </w:r>
            <w:r>
              <w:rPr>
                <w:rFonts w:hint="eastAsia" w:ascii="宋体" w:hAnsi="宋体" w:cs="宋体"/>
                <w:color w:val="auto"/>
                <w:highlight w:val="none"/>
              </w:rPr>
              <w:t xml:space="preserve"> 响应文件</w:t>
            </w:r>
          </w:p>
          <w:p w14:paraId="47C1E35C">
            <w:pPr>
              <w:spacing w:beforeLines="50" w:line="360" w:lineRule="auto"/>
              <w:ind w:right="23" w:rightChars="11"/>
              <w:contextualSpacing/>
              <w:rPr>
                <w:rFonts w:hint="eastAsia" w:ascii="宋体" w:hAnsi="宋体" w:cs="宋体"/>
                <w:color w:val="auto"/>
                <w:highlight w:val="none"/>
                <w:lang w:val="en-US" w:eastAsia="zh-CN"/>
              </w:rPr>
            </w:pPr>
            <w:r>
              <w:rPr>
                <w:rFonts w:hint="eastAsia" w:ascii="宋体" w:hAnsi="宋体" w:cs="宋体"/>
                <w:color w:val="auto"/>
                <w:highlight w:val="none"/>
              </w:rPr>
              <w:t>委托代理编号：</w:t>
            </w:r>
            <w:r>
              <w:rPr>
                <w:rFonts w:hint="eastAsia" w:ascii="宋体" w:hAnsi="宋体" w:cs="宋体"/>
                <w:color w:val="auto"/>
                <w:highlight w:val="none"/>
                <w:lang w:eastAsia="zh-CN"/>
              </w:rPr>
              <w:t>2025-TZ940</w:t>
            </w:r>
          </w:p>
          <w:p w14:paraId="4D06C3D4">
            <w:pPr>
              <w:spacing w:beforeLines="50" w:line="360" w:lineRule="auto"/>
              <w:ind w:right="23" w:rightChars="11"/>
              <w:contextualSpacing/>
              <w:rPr>
                <w:rFonts w:hint="eastAsia" w:ascii="宋体" w:hAnsi="宋体" w:cs="宋体"/>
                <w:color w:val="auto"/>
                <w:highlight w:val="none"/>
              </w:rPr>
            </w:pPr>
            <w:r>
              <w:rPr>
                <w:rFonts w:hint="eastAsia" w:ascii="宋体" w:hAnsi="宋体" w:cs="宋体"/>
                <w:color w:val="auto"/>
                <w:highlight w:val="none"/>
              </w:rPr>
              <w:t xml:space="preserve">供应商名称：    </w:t>
            </w:r>
          </w:p>
          <w:p w14:paraId="7EDD1CAC">
            <w:pPr>
              <w:spacing w:beforeLines="50" w:line="360" w:lineRule="auto"/>
              <w:ind w:right="23" w:rightChars="11"/>
              <w:contextualSpacing/>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lang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r>
              <w:rPr>
                <w:rFonts w:hint="eastAsia" w:ascii="宋体" w:hAnsi="宋体" w:cs="宋体"/>
                <w:color w:val="auto"/>
                <w:highlight w:val="none"/>
                <w:lang w:val="en-US" w:eastAsia="zh-CN"/>
              </w:rPr>
              <w:t xml:space="preserve">   </w:t>
            </w:r>
            <w:r>
              <w:rPr>
                <w:rFonts w:hint="eastAsia" w:ascii="宋体" w:hAnsi="宋体" w:cs="宋体"/>
                <w:color w:val="auto"/>
                <w:highlight w:val="none"/>
              </w:rPr>
              <w:t>时</w:t>
            </w:r>
            <w:r>
              <w:rPr>
                <w:rFonts w:hint="eastAsia" w:ascii="宋体" w:hAnsi="宋体" w:cs="宋体"/>
                <w:color w:val="auto"/>
                <w:highlight w:val="none"/>
                <w:lang w:val="en-US" w:eastAsia="zh-CN"/>
              </w:rPr>
              <w:t xml:space="preserve">   </w:t>
            </w:r>
            <w:r>
              <w:rPr>
                <w:rFonts w:hint="eastAsia" w:ascii="宋体" w:hAnsi="宋体" w:cs="宋体"/>
                <w:color w:val="auto"/>
                <w:highlight w:val="none"/>
              </w:rPr>
              <w:t>分之前不得启封</w:t>
            </w:r>
          </w:p>
        </w:tc>
      </w:tr>
      <w:tr w14:paraId="28A3C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44" w:type="dxa"/>
            <w:vAlign w:val="center"/>
          </w:tcPr>
          <w:p w14:paraId="336FA624">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第二章第24.1款</w:t>
            </w:r>
          </w:p>
        </w:tc>
        <w:tc>
          <w:tcPr>
            <w:tcW w:w="1425" w:type="dxa"/>
            <w:vAlign w:val="center"/>
          </w:tcPr>
          <w:p w14:paraId="006EBEBD">
            <w:pPr>
              <w:spacing w:line="360" w:lineRule="auto"/>
              <w:contextualSpacing/>
              <w:rPr>
                <w:rFonts w:ascii="宋体" w:hAnsi="宋体" w:cs="宋体"/>
                <w:color w:val="auto"/>
                <w:highlight w:val="none"/>
              </w:rPr>
            </w:pPr>
            <w:r>
              <w:rPr>
                <w:rFonts w:hint="eastAsia" w:ascii="宋体" w:hAnsi="宋体" w:cs="宋体"/>
                <w:color w:val="auto"/>
                <w:highlight w:val="none"/>
              </w:rPr>
              <w:t>响应文件的递交地点</w:t>
            </w:r>
          </w:p>
        </w:tc>
        <w:tc>
          <w:tcPr>
            <w:tcW w:w="6044" w:type="dxa"/>
            <w:vAlign w:val="center"/>
          </w:tcPr>
          <w:p w14:paraId="2B7092B0">
            <w:pPr>
              <w:spacing w:line="360" w:lineRule="auto"/>
              <w:contextualSpacing/>
              <w:rPr>
                <w:rFonts w:hint="eastAsia" w:ascii="宋体" w:hAnsi="宋体" w:eastAsia="宋体" w:cs="宋体"/>
                <w:color w:val="auto"/>
                <w:highlight w:val="none"/>
                <w:lang w:eastAsia="zh-CN"/>
              </w:rPr>
            </w:pPr>
            <w:r>
              <w:rPr>
                <w:rFonts w:hint="eastAsia" w:ascii="宋体" w:hAnsi="宋体" w:cs="宋体"/>
                <w:color w:val="auto"/>
                <w:highlight w:val="none"/>
                <w:lang w:eastAsia="zh-CN"/>
              </w:rPr>
              <w:t>长沙市芙蓉区律政服务大楼21楼2111室</w:t>
            </w:r>
          </w:p>
        </w:tc>
      </w:tr>
      <w:tr w14:paraId="5389DC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313" w:type="dxa"/>
            <w:gridSpan w:val="3"/>
            <w:vAlign w:val="center"/>
          </w:tcPr>
          <w:p w14:paraId="492D1D38">
            <w:pPr>
              <w:spacing w:line="360" w:lineRule="auto"/>
              <w:contextualSpacing/>
              <w:rPr>
                <w:rFonts w:ascii="宋体" w:hAnsi="宋体" w:cs="宋体"/>
                <w:b/>
                <w:bCs/>
                <w:color w:val="auto"/>
                <w:highlight w:val="none"/>
              </w:rPr>
            </w:pPr>
            <w:r>
              <w:rPr>
                <w:rFonts w:hint="eastAsia" w:ascii="宋体" w:hAnsi="宋体" w:cs="宋体"/>
                <w:b/>
                <w:bCs/>
                <w:color w:val="auto"/>
                <w:highlight w:val="none"/>
              </w:rPr>
              <w:t>五、响应文件的磋商与评审</w:t>
            </w:r>
          </w:p>
        </w:tc>
      </w:tr>
      <w:tr w14:paraId="2A3FEC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44" w:type="dxa"/>
            <w:vAlign w:val="center"/>
          </w:tcPr>
          <w:p w14:paraId="75185769">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第二章第31.2款</w:t>
            </w:r>
          </w:p>
        </w:tc>
        <w:tc>
          <w:tcPr>
            <w:tcW w:w="1425" w:type="dxa"/>
            <w:vAlign w:val="center"/>
          </w:tcPr>
          <w:p w14:paraId="2863B12D">
            <w:pPr>
              <w:spacing w:line="360" w:lineRule="auto"/>
              <w:contextualSpacing/>
              <w:rPr>
                <w:rFonts w:ascii="宋体" w:hAnsi="宋体" w:cs="宋体"/>
                <w:color w:val="auto"/>
                <w:highlight w:val="none"/>
              </w:rPr>
            </w:pPr>
            <w:r>
              <w:rPr>
                <w:rFonts w:hint="eastAsia" w:ascii="宋体" w:hAnsi="宋体" w:cs="宋体"/>
                <w:color w:val="auto"/>
                <w:highlight w:val="none"/>
              </w:rPr>
              <w:t>评审因素和标准</w:t>
            </w:r>
          </w:p>
        </w:tc>
        <w:tc>
          <w:tcPr>
            <w:tcW w:w="6044" w:type="dxa"/>
            <w:vAlign w:val="center"/>
          </w:tcPr>
          <w:p w14:paraId="2B347240">
            <w:pPr>
              <w:spacing w:line="360" w:lineRule="auto"/>
              <w:contextualSpacing/>
              <w:rPr>
                <w:rFonts w:ascii="宋体" w:hAnsi="宋体" w:cs="宋体"/>
                <w:color w:val="auto"/>
                <w:highlight w:val="none"/>
              </w:rPr>
            </w:pPr>
            <w:r>
              <w:rPr>
                <w:rFonts w:hint="eastAsia" w:ascii="宋体" w:hAnsi="宋体" w:cs="宋体"/>
                <w:color w:val="auto"/>
                <w:highlight w:val="none"/>
              </w:rPr>
              <w:t>见附页4</w:t>
            </w:r>
          </w:p>
        </w:tc>
      </w:tr>
      <w:tr w14:paraId="12C101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9313" w:type="dxa"/>
            <w:gridSpan w:val="3"/>
            <w:vAlign w:val="center"/>
          </w:tcPr>
          <w:p w14:paraId="50F3E4C7">
            <w:pPr>
              <w:spacing w:line="360" w:lineRule="auto"/>
              <w:contextualSpacing/>
              <w:rPr>
                <w:rFonts w:ascii="宋体" w:hAnsi="宋体" w:cs="宋体"/>
                <w:color w:val="auto"/>
                <w:highlight w:val="none"/>
              </w:rPr>
            </w:pPr>
            <w:r>
              <w:rPr>
                <w:rFonts w:hint="eastAsia" w:ascii="宋体" w:hAnsi="宋体" w:cs="宋体"/>
                <w:b/>
                <w:bCs/>
                <w:color w:val="auto"/>
                <w:highlight w:val="none"/>
              </w:rPr>
              <w:t>六、成交结果信息公布与授予合同</w:t>
            </w:r>
          </w:p>
        </w:tc>
      </w:tr>
      <w:tr w14:paraId="5EF7EB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44" w:type="dxa"/>
            <w:vAlign w:val="center"/>
          </w:tcPr>
          <w:p w14:paraId="29D19C38">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第二章第37.1款、</w:t>
            </w:r>
          </w:p>
        </w:tc>
        <w:tc>
          <w:tcPr>
            <w:tcW w:w="1425" w:type="dxa"/>
            <w:vAlign w:val="center"/>
          </w:tcPr>
          <w:p w14:paraId="6E2B70F0">
            <w:pPr>
              <w:spacing w:line="360" w:lineRule="auto"/>
              <w:contextualSpacing/>
              <w:rPr>
                <w:rFonts w:ascii="宋体" w:hAnsi="宋体" w:cs="宋体"/>
                <w:color w:val="auto"/>
                <w:highlight w:val="none"/>
              </w:rPr>
            </w:pPr>
            <w:r>
              <w:rPr>
                <w:rFonts w:hint="eastAsia" w:ascii="宋体" w:hAnsi="宋体" w:cs="宋体"/>
                <w:color w:val="auto"/>
                <w:highlight w:val="none"/>
              </w:rPr>
              <w:t>指定的媒体</w:t>
            </w:r>
          </w:p>
        </w:tc>
        <w:tc>
          <w:tcPr>
            <w:tcW w:w="6044" w:type="dxa"/>
            <w:vAlign w:val="center"/>
          </w:tcPr>
          <w:p w14:paraId="6D091B98">
            <w:pPr>
              <w:spacing w:line="360" w:lineRule="auto"/>
              <w:contextualSpacing/>
              <w:rPr>
                <w:rFonts w:ascii="宋体" w:hAnsi="宋体" w:cs="宋体"/>
                <w:color w:val="auto"/>
                <w:highlight w:val="none"/>
              </w:rPr>
            </w:pPr>
            <w:r>
              <w:rPr>
                <w:rFonts w:hint="eastAsia" w:ascii="宋体" w:hAnsi="宋体" w:cs="宋体"/>
                <w:color w:val="auto"/>
                <w:highlight w:val="none"/>
              </w:rPr>
              <w:t>湖南省商务厅官网（swt.hunan.gov.cn）</w:t>
            </w:r>
          </w:p>
        </w:tc>
      </w:tr>
      <w:tr w14:paraId="31E834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44" w:type="dxa"/>
            <w:vAlign w:val="center"/>
          </w:tcPr>
          <w:p w14:paraId="153B9834">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第二章第39.3款</w:t>
            </w:r>
          </w:p>
        </w:tc>
        <w:tc>
          <w:tcPr>
            <w:tcW w:w="1425" w:type="dxa"/>
            <w:vAlign w:val="center"/>
          </w:tcPr>
          <w:p w14:paraId="19A11CC0">
            <w:pPr>
              <w:spacing w:line="360" w:lineRule="auto"/>
              <w:contextualSpacing/>
              <w:rPr>
                <w:rFonts w:ascii="宋体" w:hAnsi="宋体" w:cs="宋体"/>
                <w:color w:val="auto"/>
                <w:highlight w:val="none"/>
              </w:rPr>
            </w:pPr>
            <w:r>
              <w:rPr>
                <w:rFonts w:hint="eastAsia" w:ascii="宋体" w:hAnsi="宋体" w:cs="宋体"/>
                <w:color w:val="auto"/>
                <w:highlight w:val="none"/>
              </w:rPr>
              <w:t>履约担保</w:t>
            </w:r>
          </w:p>
        </w:tc>
        <w:tc>
          <w:tcPr>
            <w:tcW w:w="6044" w:type="dxa"/>
            <w:vAlign w:val="center"/>
          </w:tcPr>
          <w:p w14:paraId="7A7D6E76">
            <w:pPr>
              <w:spacing w:line="360" w:lineRule="auto"/>
              <w:contextualSpacing/>
              <w:rPr>
                <w:rFonts w:ascii="宋体" w:hAnsi="宋体" w:cs="宋体"/>
                <w:color w:val="auto"/>
                <w:highlight w:val="none"/>
              </w:rPr>
            </w:pPr>
            <w:r>
              <w:rPr>
                <w:rFonts w:hint="eastAsia" w:ascii="宋体" w:hAnsi="宋体" w:cs="宋体"/>
                <w:color w:val="auto"/>
                <w:highlight w:val="none"/>
              </w:rPr>
              <w:t>■不要求提供</w:t>
            </w:r>
          </w:p>
          <w:p w14:paraId="4E4F421E">
            <w:pPr>
              <w:spacing w:line="360" w:lineRule="auto"/>
              <w:contextualSpacing/>
              <w:rPr>
                <w:rFonts w:ascii="宋体" w:hAnsi="宋体" w:cs="宋体"/>
                <w:color w:val="auto"/>
                <w:highlight w:val="none"/>
              </w:rPr>
            </w:pPr>
            <w:r>
              <w:rPr>
                <w:rFonts w:hint="eastAsia" w:ascii="宋体" w:hAnsi="宋体" w:cs="宋体"/>
                <w:color w:val="auto"/>
                <w:highlight w:val="none"/>
              </w:rPr>
              <w:t>□要求提供，履约担保的金额为：</w:t>
            </w:r>
          </w:p>
        </w:tc>
      </w:tr>
      <w:tr w14:paraId="643766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313" w:type="dxa"/>
            <w:gridSpan w:val="3"/>
            <w:vAlign w:val="center"/>
          </w:tcPr>
          <w:p w14:paraId="252AE7DF">
            <w:pPr>
              <w:spacing w:line="360" w:lineRule="auto"/>
              <w:contextualSpacing/>
              <w:rPr>
                <w:rFonts w:ascii="宋体" w:hAnsi="宋体" w:cs="宋体"/>
                <w:b/>
                <w:bCs/>
                <w:color w:val="auto"/>
                <w:highlight w:val="none"/>
              </w:rPr>
            </w:pPr>
            <w:r>
              <w:rPr>
                <w:rFonts w:hint="eastAsia" w:ascii="宋体" w:hAnsi="宋体" w:cs="宋体"/>
                <w:b/>
                <w:bCs/>
                <w:color w:val="auto"/>
                <w:highlight w:val="none"/>
              </w:rPr>
              <w:t>七、其他规定</w:t>
            </w:r>
          </w:p>
        </w:tc>
      </w:tr>
      <w:tr w14:paraId="0F53A7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44" w:type="dxa"/>
            <w:vAlign w:val="center"/>
          </w:tcPr>
          <w:p w14:paraId="158322AD">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第二章第41.1款</w:t>
            </w:r>
          </w:p>
        </w:tc>
        <w:tc>
          <w:tcPr>
            <w:tcW w:w="1425" w:type="dxa"/>
            <w:vAlign w:val="center"/>
          </w:tcPr>
          <w:p w14:paraId="2F9430A4">
            <w:pPr>
              <w:spacing w:line="360" w:lineRule="auto"/>
              <w:contextualSpacing/>
              <w:rPr>
                <w:rFonts w:ascii="宋体" w:hAnsi="宋体" w:cs="宋体"/>
                <w:color w:val="auto"/>
                <w:highlight w:val="none"/>
              </w:rPr>
            </w:pPr>
            <w:r>
              <w:rPr>
                <w:rFonts w:hint="eastAsia" w:ascii="宋体" w:hAnsi="宋体" w:cs="宋体"/>
                <w:color w:val="auto"/>
                <w:highlight w:val="none"/>
              </w:rPr>
              <w:t>采购代理服务费</w:t>
            </w:r>
          </w:p>
        </w:tc>
        <w:tc>
          <w:tcPr>
            <w:tcW w:w="6044" w:type="dxa"/>
            <w:vAlign w:val="center"/>
          </w:tcPr>
          <w:p w14:paraId="6A808A06">
            <w:pPr>
              <w:spacing w:line="360" w:lineRule="auto"/>
              <w:contextualSpacing/>
              <w:rPr>
                <w:rFonts w:ascii="宋体" w:hAnsi="宋体" w:cs="宋体"/>
                <w:color w:val="auto"/>
                <w:highlight w:val="none"/>
              </w:rPr>
            </w:pPr>
            <w:bookmarkStart w:id="3" w:name="OLE_LINK1"/>
            <w:r>
              <w:rPr>
                <w:rFonts w:hint="eastAsia" w:ascii="宋体" w:hAnsi="宋体" w:cs="宋体"/>
                <w:color w:val="auto"/>
                <w:highlight w:val="none"/>
              </w:rPr>
              <w:t>代理服务费</w:t>
            </w:r>
            <w:r>
              <w:rPr>
                <w:rFonts w:hint="eastAsia" w:ascii="宋体" w:hAnsi="宋体" w:cs="宋体"/>
                <w:color w:val="auto"/>
                <w:highlight w:val="none"/>
                <w:lang w:val="en-US" w:eastAsia="zh-CN"/>
              </w:rPr>
              <w:t>2890元</w:t>
            </w:r>
            <w:r>
              <w:rPr>
                <w:rFonts w:hint="eastAsia" w:ascii="宋体" w:hAnsi="宋体" w:cs="宋体"/>
                <w:color w:val="auto"/>
                <w:highlight w:val="none"/>
              </w:rPr>
              <w:t>由采购人向代理机构支付。</w:t>
            </w:r>
            <w:bookmarkEnd w:id="3"/>
          </w:p>
        </w:tc>
      </w:tr>
      <w:tr w14:paraId="0D8B7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44" w:type="dxa"/>
            <w:tcBorders>
              <w:bottom w:val="double" w:color="auto" w:sz="4" w:space="0"/>
            </w:tcBorders>
            <w:vAlign w:val="center"/>
          </w:tcPr>
          <w:p w14:paraId="41480CAC">
            <w:pPr>
              <w:spacing w:line="360" w:lineRule="auto"/>
              <w:contextualSpacing/>
              <w:jc w:val="center"/>
              <w:rPr>
                <w:rFonts w:ascii="宋体" w:hAnsi="宋体" w:cs="宋体"/>
                <w:color w:val="auto"/>
                <w:highlight w:val="none"/>
              </w:rPr>
            </w:pPr>
            <w:r>
              <w:rPr>
                <w:rFonts w:hint="eastAsia" w:ascii="宋体" w:hAnsi="宋体" w:cs="宋体"/>
                <w:color w:val="auto"/>
                <w:highlight w:val="none"/>
              </w:rPr>
              <w:t>第二章第42.1款</w:t>
            </w:r>
          </w:p>
        </w:tc>
        <w:tc>
          <w:tcPr>
            <w:tcW w:w="1425" w:type="dxa"/>
            <w:tcBorders>
              <w:bottom w:val="double" w:color="auto" w:sz="4" w:space="0"/>
            </w:tcBorders>
            <w:vAlign w:val="center"/>
          </w:tcPr>
          <w:p w14:paraId="004E1E8D">
            <w:pPr>
              <w:spacing w:line="360" w:lineRule="auto"/>
              <w:contextualSpacing/>
              <w:rPr>
                <w:rFonts w:ascii="宋体" w:hAnsi="宋体" w:cs="宋体"/>
                <w:color w:val="auto"/>
                <w:highlight w:val="none"/>
              </w:rPr>
            </w:pPr>
            <w:r>
              <w:rPr>
                <w:rFonts w:hint="eastAsia" w:ascii="宋体" w:hAnsi="宋体" w:cs="宋体"/>
                <w:color w:val="auto"/>
                <w:highlight w:val="none"/>
              </w:rPr>
              <w:t>其他规定</w:t>
            </w:r>
          </w:p>
        </w:tc>
        <w:tc>
          <w:tcPr>
            <w:tcW w:w="6044" w:type="dxa"/>
            <w:tcBorders>
              <w:bottom w:val="double" w:color="auto" w:sz="4" w:space="0"/>
            </w:tcBorders>
            <w:vAlign w:val="center"/>
          </w:tcPr>
          <w:p w14:paraId="08988AA9">
            <w:pPr>
              <w:spacing w:line="360" w:lineRule="auto"/>
              <w:ind w:right="23" w:rightChars="11"/>
              <w:contextualSpacing/>
              <w:rPr>
                <w:rFonts w:ascii="宋体" w:hAnsi="宋体" w:cs="宋体"/>
                <w:color w:val="auto"/>
                <w:highlight w:val="none"/>
              </w:rPr>
            </w:pPr>
            <w:r>
              <w:rPr>
                <w:rFonts w:hint="eastAsia" w:ascii="宋体" w:hAnsi="宋体" w:cs="宋体"/>
                <w:color w:val="auto"/>
                <w:highlight w:val="none"/>
              </w:rPr>
              <w:t>无</w:t>
            </w:r>
          </w:p>
        </w:tc>
      </w:tr>
    </w:tbl>
    <w:p w14:paraId="409CB1F1">
      <w:pPr>
        <w:rPr>
          <w:rFonts w:ascii="宋体" w:hAnsi="宋体" w:cs="宋体"/>
          <w:color w:val="auto"/>
          <w:sz w:val="24"/>
          <w:szCs w:val="24"/>
          <w:highlight w:val="none"/>
        </w:rPr>
      </w:pPr>
    </w:p>
    <w:p w14:paraId="232E2747">
      <w:pPr>
        <w:pStyle w:val="35"/>
        <w:rPr>
          <w:rFonts w:ascii="宋体" w:hAnsi="宋体" w:eastAsia="宋体" w:cs="宋体"/>
          <w:color w:val="auto"/>
          <w:highlight w:val="none"/>
        </w:rPr>
      </w:pPr>
    </w:p>
    <w:p w14:paraId="1601849E">
      <w:pPr>
        <w:pStyle w:val="35"/>
        <w:rPr>
          <w:rFonts w:ascii="宋体" w:hAnsi="宋体" w:eastAsia="宋体" w:cs="宋体"/>
          <w:color w:val="auto"/>
          <w:highlight w:val="none"/>
        </w:rPr>
      </w:pPr>
    </w:p>
    <w:p w14:paraId="45944A87">
      <w:pPr>
        <w:pStyle w:val="35"/>
        <w:rPr>
          <w:rFonts w:ascii="宋体" w:hAnsi="宋体" w:eastAsia="宋体" w:cs="宋体"/>
          <w:color w:val="auto"/>
          <w:highlight w:val="none"/>
        </w:rPr>
      </w:pPr>
    </w:p>
    <w:p w14:paraId="056AB1EF">
      <w:pPr>
        <w:pStyle w:val="35"/>
        <w:rPr>
          <w:rFonts w:ascii="宋体" w:hAnsi="宋体" w:eastAsia="宋体" w:cs="宋体"/>
          <w:color w:val="auto"/>
          <w:highlight w:val="none"/>
        </w:rPr>
      </w:pPr>
    </w:p>
    <w:p w14:paraId="534B1674">
      <w:pPr>
        <w:pStyle w:val="35"/>
        <w:rPr>
          <w:rFonts w:ascii="宋体" w:hAnsi="宋体" w:eastAsia="宋体" w:cs="宋体"/>
          <w:color w:val="auto"/>
          <w:highlight w:val="none"/>
        </w:rPr>
      </w:pPr>
    </w:p>
    <w:p w14:paraId="0960717D">
      <w:pPr>
        <w:pStyle w:val="35"/>
        <w:rPr>
          <w:rFonts w:ascii="宋体" w:hAnsi="宋体" w:eastAsia="宋体" w:cs="宋体"/>
          <w:color w:val="auto"/>
          <w:highlight w:val="none"/>
        </w:rPr>
      </w:pPr>
    </w:p>
    <w:p w14:paraId="622BE964">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035B2F9">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评审因素和标准</w:t>
      </w:r>
    </w:p>
    <w:tbl>
      <w:tblPr>
        <w:tblStyle w:val="21"/>
        <w:tblpPr w:leftFromText="180" w:rightFromText="180" w:vertAnchor="text" w:horzAnchor="page" w:tblpXSpec="center" w:tblpY="399"/>
        <w:tblOverlap w:val="never"/>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94"/>
        <w:gridCol w:w="1007"/>
        <w:gridCol w:w="6420"/>
      </w:tblGrid>
      <w:tr w14:paraId="6F11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5" w:type="dxa"/>
            <w:gridSpan w:val="2"/>
            <w:tcBorders>
              <w:tl2br w:val="nil"/>
              <w:tr2bl w:val="nil"/>
            </w:tcBorders>
            <w:noWrap w:val="0"/>
            <w:vAlign w:val="center"/>
          </w:tcPr>
          <w:p w14:paraId="713709A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1007" w:type="dxa"/>
            <w:tcBorders>
              <w:tl2br w:val="nil"/>
              <w:tr2bl w:val="nil"/>
            </w:tcBorders>
            <w:noWrap w:val="0"/>
            <w:vAlign w:val="center"/>
          </w:tcPr>
          <w:p w14:paraId="58D5F36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420" w:type="dxa"/>
            <w:tcBorders>
              <w:tl2br w:val="nil"/>
              <w:tr2bl w:val="nil"/>
            </w:tcBorders>
            <w:noWrap w:val="0"/>
            <w:vAlign w:val="center"/>
          </w:tcPr>
          <w:p w14:paraId="026BB35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r>
      <w:tr w14:paraId="0FD0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21" w:type="dxa"/>
            <w:tcBorders>
              <w:tl2br w:val="nil"/>
              <w:tr2bl w:val="nil"/>
            </w:tcBorders>
            <w:noWrap w:val="0"/>
            <w:vAlign w:val="center"/>
          </w:tcPr>
          <w:p w14:paraId="4A3C197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w:t>
            </w:r>
          </w:p>
          <w:p w14:paraId="467BCF2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w:t>
            </w:r>
          </w:p>
          <w:p w14:paraId="2CCD87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w:t>
            </w:r>
          </w:p>
        </w:tc>
        <w:tc>
          <w:tcPr>
            <w:tcW w:w="1294" w:type="dxa"/>
            <w:tcBorders>
              <w:tl2br w:val="nil"/>
              <w:tr2bl w:val="nil"/>
            </w:tcBorders>
            <w:noWrap w:val="0"/>
            <w:vAlign w:val="center"/>
          </w:tcPr>
          <w:p w14:paraId="0547CA6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报价</w:t>
            </w:r>
          </w:p>
        </w:tc>
        <w:tc>
          <w:tcPr>
            <w:tcW w:w="1007" w:type="dxa"/>
            <w:tcBorders>
              <w:tl2br w:val="nil"/>
              <w:tr2bl w:val="nil"/>
            </w:tcBorders>
            <w:noWrap w:val="0"/>
            <w:vAlign w:val="center"/>
          </w:tcPr>
          <w:p w14:paraId="722861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w:t>
            </w:r>
          </w:p>
        </w:tc>
        <w:tc>
          <w:tcPr>
            <w:tcW w:w="6420" w:type="dxa"/>
            <w:tcBorders>
              <w:tl2br w:val="nil"/>
              <w:tr2bl w:val="nil"/>
            </w:tcBorders>
            <w:noWrap w:val="0"/>
            <w:vAlign w:val="center"/>
          </w:tcPr>
          <w:p w14:paraId="519B693C">
            <w:pPr>
              <w:keepNext w:val="0"/>
              <w:keepLines w:val="0"/>
              <w:pageBreakBefore w:val="0"/>
              <w:kinsoku/>
              <w:wordWrap/>
              <w:overflowPunct/>
              <w:topLinePunct w:val="0"/>
              <w:autoSpaceDE/>
              <w:autoSpaceDN/>
              <w:bidi w:val="0"/>
              <w:spacing w:line="400" w:lineRule="exact"/>
              <w:ind w:firstLine="0" w:firstLineChars="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经评委会一致认定满足招标文件要求且投标价格的最低投标报价为评标基准价，其价格得分计</w:t>
            </w:r>
            <w:r>
              <w:rPr>
                <w:rFonts w:hint="eastAsia" w:ascii="宋体" w:hAnsi="宋体" w:eastAsia="宋体" w:cs="宋体"/>
                <w:bCs/>
                <w:sz w:val="21"/>
                <w:szCs w:val="21"/>
                <w:highlight w:val="none"/>
                <w:lang w:val="en-US" w:eastAsia="zh-CN"/>
              </w:rPr>
              <w:t>30</w:t>
            </w:r>
            <w:r>
              <w:rPr>
                <w:rFonts w:hint="eastAsia" w:ascii="宋体" w:hAnsi="宋体" w:eastAsia="宋体" w:cs="宋体"/>
                <w:bCs/>
                <w:sz w:val="21"/>
                <w:szCs w:val="21"/>
                <w:highlight w:val="none"/>
              </w:rPr>
              <w:t>分，其他</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的价格得分统一按公式计算：</w:t>
            </w:r>
          </w:p>
          <w:p w14:paraId="622DD2A4">
            <w:pPr>
              <w:keepNext w:val="0"/>
              <w:keepLines w:val="0"/>
              <w:pageBreakBefore w:val="0"/>
              <w:widowControl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t>投标报价得分=（评标基准价／投标报价）×</w:t>
            </w:r>
            <w:r>
              <w:rPr>
                <w:rFonts w:hint="eastAsia" w:ascii="宋体" w:hAnsi="宋体" w:eastAsia="宋体" w:cs="宋体"/>
                <w:sz w:val="21"/>
                <w:szCs w:val="21"/>
                <w:highlight w:val="none"/>
              </w:rPr>
              <w:t>价格权值×10</w:t>
            </w:r>
            <w:r>
              <w:rPr>
                <w:rFonts w:hint="eastAsia" w:ascii="宋体" w:hAnsi="宋体" w:eastAsia="宋体" w:cs="宋体"/>
                <w:sz w:val="21"/>
                <w:szCs w:val="21"/>
                <w:highlight w:val="none"/>
                <w:lang w:val="en-US" w:eastAsia="zh-CN"/>
              </w:rPr>
              <w:t>0</w:t>
            </w:r>
          </w:p>
          <w:p w14:paraId="78DEDD6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bCs/>
                <w:sz w:val="21"/>
                <w:szCs w:val="21"/>
                <w:highlight w:val="none"/>
              </w:rPr>
              <w:t>注</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若</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的报价超过采购预算，则为无效报价，按无效投标</w:t>
            </w:r>
          </w:p>
        </w:tc>
      </w:tr>
      <w:tr w14:paraId="2261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1321" w:type="dxa"/>
            <w:vMerge w:val="restart"/>
            <w:tcBorders>
              <w:tl2br w:val="nil"/>
              <w:tr2bl w:val="nil"/>
            </w:tcBorders>
            <w:noWrap w:val="0"/>
            <w:vAlign w:val="center"/>
          </w:tcPr>
          <w:p w14:paraId="1DA37E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w:t>
            </w:r>
          </w:p>
          <w:p w14:paraId="2D7F61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（50分）</w:t>
            </w:r>
          </w:p>
        </w:tc>
        <w:tc>
          <w:tcPr>
            <w:tcW w:w="1294" w:type="dxa"/>
            <w:tcBorders>
              <w:tl2br w:val="nil"/>
              <w:tr2bl w:val="nil"/>
            </w:tcBorders>
            <w:noWrap w:val="0"/>
            <w:vAlign w:val="center"/>
          </w:tcPr>
          <w:p w14:paraId="3E662303">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总体</w:t>
            </w:r>
          </w:p>
          <w:p w14:paraId="1D3A2D7A">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活动</w:t>
            </w:r>
          </w:p>
          <w:p w14:paraId="7B525041">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流程</w:t>
            </w:r>
          </w:p>
          <w:p w14:paraId="2185B410">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规划</w:t>
            </w:r>
          </w:p>
        </w:tc>
        <w:tc>
          <w:tcPr>
            <w:tcW w:w="1007" w:type="dxa"/>
            <w:tcBorders>
              <w:tl2br w:val="nil"/>
              <w:tr2bl w:val="nil"/>
            </w:tcBorders>
            <w:noWrap w:val="0"/>
            <w:vAlign w:val="center"/>
          </w:tcPr>
          <w:p w14:paraId="323BCC75">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6420" w:type="dxa"/>
            <w:tcBorders>
              <w:tl2br w:val="nil"/>
              <w:tr2bl w:val="nil"/>
            </w:tcBorders>
            <w:noWrap w:val="0"/>
            <w:vAlign w:val="center"/>
          </w:tcPr>
          <w:p w14:paraId="3BA9231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制定总体活动流程规划方案，方案内容包括但不限于：1.活动总体规划方案；2.活动现场全流程管理方案。</w:t>
            </w:r>
          </w:p>
          <w:p w14:paraId="1A517045">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lang w:val="en-US" w:eastAsia="zh-CN"/>
              </w:rPr>
              <w:t>上述方案</w:t>
            </w:r>
            <w:r>
              <w:rPr>
                <w:rFonts w:hint="eastAsia" w:ascii="宋体" w:hAnsi="宋体" w:eastAsia="宋体" w:cs="宋体"/>
                <w:color w:val="auto"/>
                <w:szCs w:val="21"/>
                <w:highlight w:val="none"/>
                <w:lang w:val="en-US" w:eastAsia="zh-CN"/>
              </w:rPr>
              <w:t>各要素齐全，保障目标明确，处置预案切实可行，保障措施齐全，保障效果到位计10分；每缺少一项要素的，扣5分；每有一处内容存在错误或缺陷的，扣2.5分，扣完为止。</w:t>
            </w:r>
          </w:p>
          <w:p w14:paraId="6F6B3B3D">
            <w:pPr>
              <w:keepNext w:val="0"/>
              <w:keepLines w:val="0"/>
              <w:pageBreakBefore w:val="0"/>
              <w:widowControl/>
              <w:suppressLineNumbers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内容错误或有缺陷指项目名称不符合、内容与项目需求不一致、涉及的技术规范标准等与国家或行业文件要求不一致，内容与实际实施存在差异，计划安排无条理性、内容空洞、语义表述不清，前后矛盾，存在歧义、混乱，内容不充实完善等。</w:t>
            </w:r>
          </w:p>
        </w:tc>
      </w:tr>
      <w:tr w14:paraId="72D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321" w:type="dxa"/>
            <w:vMerge w:val="continue"/>
            <w:tcBorders>
              <w:tl2br w:val="nil"/>
              <w:tr2bl w:val="nil"/>
            </w:tcBorders>
            <w:noWrap w:val="0"/>
            <w:vAlign w:val="center"/>
          </w:tcPr>
          <w:p w14:paraId="0155130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c>
          <w:tcPr>
            <w:tcW w:w="1294" w:type="dxa"/>
            <w:tcBorders>
              <w:tl2br w:val="nil"/>
              <w:tr2bl w:val="nil"/>
            </w:tcBorders>
            <w:noWrap w:val="0"/>
            <w:vAlign w:val="center"/>
          </w:tcPr>
          <w:p w14:paraId="2D5EF980">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会务</w:t>
            </w:r>
          </w:p>
          <w:p w14:paraId="17A1B077">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活动</w:t>
            </w:r>
          </w:p>
          <w:p w14:paraId="0450BD41">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设计</w:t>
            </w:r>
          </w:p>
          <w:p w14:paraId="73D2E473">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w:t>
            </w:r>
          </w:p>
        </w:tc>
        <w:tc>
          <w:tcPr>
            <w:tcW w:w="1007" w:type="dxa"/>
            <w:tcBorders>
              <w:tl2br w:val="nil"/>
              <w:tr2bl w:val="nil"/>
            </w:tcBorders>
            <w:noWrap w:val="0"/>
            <w:vAlign w:val="center"/>
          </w:tcPr>
          <w:p w14:paraId="626EA141">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6420" w:type="dxa"/>
            <w:tcBorders>
              <w:tl2br w:val="nil"/>
              <w:tr2bl w:val="nil"/>
            </w:tcBorders>
            <w:noWrap w:val="0"/>
            <w:vAlign w:val="center"/>
          </w:tcPr>
          <w:p w14:paraId="0A965B3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制定会务活动设计方案，方案内容包括但不限于：1.会议舞台舞美及氛围设计；2.活动场地线路设计；3.会场搭建布置方案；4.VI视觉设计及相关物料延展设计；5.嘉宾座位设计方案；</w:t>
            </w:r>
          </w:p>
          <w:p w14:paraId="62534A4A">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lang w:val="en-US" w:eastAsia="zh-CN"/>
              </w:rPr>
              <w:t>上述方案</w:t>
            </w:r>
            <w:r>
              <w:rPr>
                <w:rFonts w:hint="eastAsia" w:ascii="宋体" w:hAnsi="宋体" w:eastAsia="宋体" w:cs="宋体"/>
                <w:color w:val="auto"/>
                <w:szCs w:val="21"/>
                <w:highlight w:val="none"/>
                <w:lang w:val="en-US" w:eastAsia="zh-CN"/>
              </w:rPr>
              <w:t>各要素齐全，保障目标明确，处置预案切实可行，保障措施齐全，保障效果到位计20分；每缺少一项要素的，扣4分；每有一处内容存在错误或缺陷的，扣2分，扣完为止。</w:t>
            </w:r>
          </w:p>
          <w:p w14:paraId="29747829">
            <w:pPr>
              <w:keepNext w:val="0"/>
              <w:keepLines w:val="0"/>
              <w:pageBreakBefore w:val="0"/>
              <w:widowControl/>
              <w:suppressLineNumbers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内容错误或有缺陷指项目名称不符合、内容与项目需求不一致、涉及的技术规范标准等与国家或行业文件要求不一致，内容与实际实施存在差异，计划安排无条理性、内容空洞、语义表述不清，前后矛盾，存在歧义、混乱，内容不充实完善等。</w:t>
            </w:r>
          </w:p>
        </w:tc>
      </w:tr>
      <w:tr w14:paraId="5186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321" w:type="dxa"/>
            <w:vMerge w:val="continue"/>
            <w:tcBorders>
              <w:tl2br w:val="nil"/>
              <w:tr2bl w:val="nil"/>
            </w:tcBorders>
            <w:noWrap w:val="0"/>
            <w:vAlign w:val="center"/>
          </w:tcPr>
          <w:p w14:paraId="0FE0B96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c>
          <w:tcPr>
            <w:tcW w:w="1294" w:type="dxa"/>
            <w:tcBorders>
              <w:tl2br w:val="nil"/>
              <w:tr2bl w:val="nil"/>
            </w:tcBorders>
            <w:noWrap w:val="0"/>
            <w:vAlign w:val="center"/>
          </w:tcPr>
          <w:p w14:paraId="6A8D1816">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Style w:val="23"/>
                <w:rFonts w:hint="eastAsia" w:ascii="宋体" w:hAnsi="宋体" w:eastAsia="宋体" w:cs="宋体"/>
                <w:b w:val="0"/>
                <w:sz w:val="21"/>
                <w:szCs w:val="21"/>
                <w:lang w:val="en-US" w:eastAsia="zh-CN"/>
              </w:rPr>
            </w:pPr>
            <w:r>
              <w:rPr>
                <w:rStyle w:val="23"/>
                <w:rFonts w:hint="eastAsia" w:ascii="宋体" w:hAnsi="宋体" w:eastAsia="宋体" w:cs="宋体"/>
                <w:b w:val="0"/>
                <w:sz w:val="21"/>
                <w:szCs w:val="21"/>
                <w:lang w:val="en-US" w:eastAsia="zh-CN"/>
              </w:rPr>
              <w:t>现场</w:t>
            </w:r>
          </w:p>
          <w:p w14:paraId="50E1C971">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Style w:val="23"/>
                <w:rFonts w:hint="eastAsia" w:ascii="宋体" w:hAnsi="宋体" w:eastAsia="宋体" w:cs="宋体"/>
                <w:b w:val="0"/>
                <w:sz w:val="21"/>
                <w:szCs w:val="21"/>
                <w:lang w:val="en-US" w:eastAsia="zh-CN"/>
              </w:rPr>
            </w:pPr>
            <w:r>
              <w:rPr>
                <w:rStyle w:val="23"/>
                <w:rFonts w:hint="eastAsia" w:ascii="宋体" w:hAnsi="宋体" w:eastAsia="宋体" w:cs="宋体"/>
                <w:b w:val="0"/>
                <w:sz w:val="21"/>
                <w:szCs w:val="21"/>
                <w:lang w:val="en-US" w:eastAsia="zh-CN"/>
              </w:rPr>
              <w:t>管理</w:t>
            </w:r>
          </w:p>
          <w:p w14:paraId="14802370">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Style w:val="23"/>
                <w:rFonts w:hint="eastAsia" w:ascii="宋体" w:hAnsi="宋体" w:eastAsia="宋体" w:cs="宋体"/>
                <w:b w:val="0"/>
                <w:sz w:val="21"/>
                <w:szCs w:val="21"/>
                <w:lang w:val="en-US" w:eastAsia="zh-CN"/>
              </w:rPr>
            </w:pPr>
            <w:r>
              <w:rPr>
                <w:rStyle w:val="23"/>
                <w:rFonts w:hint="eastAsia" w:ascii="宋体" w:hAnsi="宋体" w:eastAsia="宋体" w:cs="宋体"/>
                <w:b w:val="0"/>
                <w:sz w:val="21"/>
                <w:szCs w:val="21"/>
                <w:lang w:val="en-US" w:eastAsia="zh-CN"/>
              </w:rPr>
              <w:t>服务</w:t>
            </w:r>
          </w:p>
          <w:p w14:paraId="2DBC42E8">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bCs/>
                <w:kern w:val="2"/>
                <w:sz w:val="21"/>
                <w:szCs w:val="21"/>
                <w:highlight w:val="none"/>
                <w:lang w:val="en-US" w:eastAsia="zh-CN" w:bidi="ar-SA"/>
              </w:rPr>
            </w:pPr>
            <w:r>
              <w:rPr>
                <w:rStyle w:val="23"/>
                <w:rFonts w:hint="eastAsia" w:ascii="宋体" w:hAnsi="宋体" w:eastAsia="宋体" w:cs="宋体"/>
                <w:b w:val="0"/>
                <w:sz w:val="21"/>
                <w:szCs w:val="21"/>
                <w:lang w:val="en-US" w:eastAsia="zh-CN"/>
              </w:rPr>
              <w:t>方案</w:t>
            </w:r>
          </w:p>
        </w:tc>
        <w:tc>
          <w:tcPr>
            <w:tcW w:w="1007" w:type="dxa"/>
            <w:tcBorders>
              <w:tl2br w:val="nil"/>
              <w:tr2bl w:val="nil"/>
            </w:tcBorders>
            <w:noWrap w:val="0"/>
            <w:vAlign w:val="center"/>
          </w:tcPr>
          <w:p w14:paraId="73E56096">
            <w:pPr>
              <w:keepNext w:val="0"/>
              <w:keepLines w:val="0"/>
              <w:pageBreakBefore w:val="0"/>
              <w:kinsoku/>
              <w:wordWrap/>
              <w:overflowPunct/>
              <w:topLinePunct w:val="0"/>
              <w:autoSpaceDE/>
              <w:autoSpaceDN/>
              <w:bidi w:val="0"/>
              <w:adjustRightInd w:val="0"/>
              <w:snapToGrid w:val="0"/>
              <w:spacing w:line="400" w:lineRule="exact"/>
              <w:ind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Cs/>
                <w:sz w:val="21"/>
                <w:szCs w:val="21"/>
                <w:highlight w:val="none"/>
                <w:lang w:val="en-US" w:eastAsia="zh-CN"/>
              </w:rPr>
              <w:t>10</w:t>
            </w:r>
          </w:p>
        </w:tc>
        <w:tc>
          <w:tcPr>
            <w:tcW w:w="6420" w:type="dxa"/>
            <w:tcBorders>
              <w:tl2br w:val="nil"/>
              <w:tr2bl w:val="nil"/>
            </w:tcBorders>
            <w:noWrap w:val="0"/>
            <w:vAlign w:val="center"/>
          </w:tcPr>
          <w:p w14:paraId="06BCB267">
            <w:pPr>
              <w:pStyle w:val="72"/>
              <w:keepNext w:val="0"/>
              <w:keepLines w:val="0"/>
              <w:pageBreakBefore w:val="0"/>
              <w:kinsoku/>
              <w:wordWrap/>
              <w:overflowPunct/>
              <w:topLinePunct w:val="0"/>
              <w:autoSpaceDE/>
              <w:autoSpaceDN/>
              <w:bidi w:val="0"/>
              <w:spacing w:line="400" w:lineRule="exact"/>
              <w:ind w:firstLine="0" w:firstLineChars="0"/>
              <w:jc w:val="left"/>
              <w:textAlignment w:val="auto"/>
              <w:rPr>
                <w:rStyle w:val="23"/>
                <w:rFonts w:hint="eastAsia" w:ascii="宋体" w:hAnsi="宋体" w:eastAsia="宋体" w:cs="宋体"/>
                <w:b w:val="0"/>
                <w:sz w:val="21"/>
                <w:szCs w:val="21"/>
                <w:lang w:val="en-US"/>
              </w:rPr>
            </w:pPr>
            <w:r>
              <w:rPr>
                <w:rStyle w:val="23"/>
                <w:rFonts w:hint="eastAsia" w:ascii="宋体" w:hAnsi="宋体" w:eastAsia="宋体" w:cs="宋体"/>
                <w:b w:val="0"/>
                <w:kern w:val="2"/>
                <w:sz w:val="21"/>
                <w:szCs w:val="21"/>
                <w:lang w:val="en-US" w:eastAsia="zh-CN" w:bidi="ar-SA"/>
              </w:rPr>
              <w:t>针对本项目采购需求提供现场管理服务，</w:t>
            </w:r>
            <w:r>
              <w:rPr>
                <w:rFonts w:hint="eastAsia" w:ascii="宋体" w:hAnsi="宋体" w:eastAsia="宋体" w:cs="宋体"/>
                <w:color w:val="auto"/>
                <w:sz w:val="21"/>
                <w:szCs w:val="21"/>
                <w:lang w:val="en-US" w:eastAsia="zh-CN"/>
              </w:rPr>
              <w:t>方案内容包括但不限于：1.</w:t>
            </w:r>
            <w:r>
              <w:rPr>
                <w:rStyle w:val="23"/>
                <w:rFonts w:hint="eastAsia" w:ascii="宋体" w:hAnsi="宋体" w:eastAsia="宋体" w:cs="宋体"/>
                <w:b w:val="0"/>
                <w:kern w:val="2"/>
                <w:sz w:val="21"/>
                <w:szCs w:val="21"/>
                <w:lang w:val="en-US" w:eastAsia="zh-CN" w:bidi="ar-SA"/>
              </w:rPr>
              <w:t>现场工作人员组织架构及职责分工；2.工作安排计划；</w:t>
            </w:r>
          </w:p>
          <w:p w14:paraId="63CC54D2">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上述方案</w:t>
            </w:r>
            <w:r>
              <w:rPr>
                <w:rFonts w:hint="eastAsia" w:ascii="宋体" w:hAnsi="宋体" w:eastAsia="宋体" w:cs="宋体"/>
                <w:color w:val="auto"/>
                <w:szCs w:val="21"/>
                <w:highlight w:val="none"/>
                <w:lang w:val="en-US" w:eastAsia="zh-CN"/>
              </w:rPr>
              <w:t>各要素齐全，保障目标明确，处置预案切实可行，保障措施齐全，保障效果到位计10分；每缺少一项要素的，扣5分；每有一处内容存在错误或缺陷的，扣2.5分，扣完为止。</w:t>
            </w:r>
          </w:p>
          <w:p w14:paraId="23FB71CB">
            <w:pPr>
              <w:keepNext w:val="0"/>
              <w:keepLines w:val="0"/>
              <w:pageBreakBefore w:val="0"/>
              <w:widowControl/>
              <w:suppressLineNumbers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内容错误或有缺陷指项目名称不符合、内容与项目需求不一致、涉及的技术规范标准等与国家或行业文件要求不一致，内容与实际实施存在差异，计划安排无条理性、内容空洞、语义表述不清，前后矛盾，存在歧义、混乱，内容不充实完善等。</w:t>
            </w:r>
          </w:p>
        </w:tc>
      </w:tr>
      <w:tr w14:paraId="6A2A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21" w:type="dxa"/>
            <w:vMerge w:val="continue"/>
            <w:tcBorders>
              <w:tl2br w:val="nil"/>
              <w:tr2bl w:val="nil"/>
            </w:tcBorders>
            <w:noWrap w:val="0"/>
            <w:vAlign w:val="center"/>
          </w:tcPr>
          <w:p w14:paraId="2D20901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c>
          <w:tcPr>
            <w:tcW w:w="1294" w:type="dxa"/>
            <w:tcBorders>
              <w:tl2br w:val="nil"/>
              <w:tr2bl w:val="nil"/>
            </w:tcBorders>
            <w:noWrap w:val="0"/>
            <w:vAlign w:val="center"/>
          </w:tcPr>
          <w:p w14:paraId="3D1B7678">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嘉宾</w:t>
            </w:r>
          </w:p>
          <w:p w14:paraId="4236FBD8">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邀请</w:t>
            </w:r>
          </w:p>
          <w:p w14:paraId="1871B827">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w:t>
            </w:r>
          </w:p>
          <w:p w14:paraId="63042D54">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方案</w:t>
            </w:r>
          </w:p>
        </w:tc>
        <w:tc>
          <w:tcPr>
            <w:tcW w:w="1007" w:type="dxa"/>
            <w:tcBorders>
              <w:tl2br w:val="nil"/>
              <w:tr2bl w:val="nil"/>
            </w:tcBorders>
            <w:noWrap w:val="0"/>
            <w:vAlign w:val="center"/>
          </w:tcPr>
          <w:p w14:paraId="5D1A45BA">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6420" w:type="dxa"/>
            <w:tcBorders>
              <w:tl2br w:val="nil"/>
              <w:tr2bl w:val="nil"/>
            </w:tcBorders>
            <w:noWrap w:val="0"/>
            <w:vAlign w:val="center"/>
          </w:tcPr>
          <w:p w14:paraId="0F0F2F56">
            <w:pPr>
              <w:keepNext w:val="0"/>
              <w:keepLines w:val="0"/>
              <w:pageBreakBefore w:val="0"/>
              <w:widowControl/>
              <w:suppressLineNumbers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制定嘉宾邀请方案并实施，方案内容包括但不限于：1.嘉宾邀请执行方案；2.嘉宾邀请进度安排表；</w:t>
            </w:r>
          </w:p>
          <w:p w14:paraId="2DEA4BF9">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lang w:val="en-US" w:eastAsia="zh-CN"/>
              </w:rPr>
              <w:t>上述方案</w:t>
            </w:r>
            <w:r>
              <w:rPr>
                <w:rFonts w:hint="eastAsia" w:ascii="宋体" w:hAnsi="宋体" w:eastAsia="宋体" w:cs="宋体"/>
                <w:color w:val="auto"/>
                <w:szCs w:val="21"/>
                <w:highlight w:val="none"/>
                <w:lang w:val="en-US" w:eastAsia="zh-CN"/>
              </w:rPr>
              <w:t>各要素齐全，保障目标明确，处置预案切实可行，保障措施齐全，保障效果到位计10分；每缺少一项要素的，扣5分；每有一处内容存在错误或缺陷的，扣2.5分，扣完为止。</w:t>
            </w:r>
          </w:p>
          <w:p w14:paraId="0445A4FF">
            <w:pPr>
              <w:keepNext w:val="0"/>
              <w:keepLines w:val="0"/>
              <w:pageBreakBefore w:val="0"/>
              <w:widowControl/>
              <w:suppressLineNumbers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内容错误或有缺陷指项目名称不符合、内容与项目需求不一致、涉及的技术规范标准等与国家或行业文件要求不一致，内容与实际实施存在差异，计划安排无条理性、内容空洞、语义表述不清，前后矛盾，存在歧义、混乱，内容不充实完善等。</w:t>
            </w:r>
          </w:p>
        </w:tc>
      </w:tr>
      <w:tr w14:paraId="096B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321" w:type="dxa"/>
            <w:vMerge w:val="restart"/>
            <w:tcBorders>
              <w:tl2br w:val="nil"/>
              <w:tr2bl w:val="nil"/>
            </w:tcBorders>
            <w:noWrap w:val="0"/>
            <w:vAlign w:val="center"/>
          </w:tcPr>
          <w:p w14:paraId="45AF48F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w:t>
            </w:r>
          </w:p>
          <w:p w14:paraId="6C74B47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c>
          <w:tcPr>
            <w:tcW w:w="1294" w:type="dxa"/>
            <w:tcBorders>
              <w:tl2br w:val="nil"/>
              <w:tr2bl w:val="nil"/>
            </w:tcBorders>
            <w:noWrap w:val="0"/>
            <w:vAlign w:val="center"/>
          </w:tcPr>
          <w:p w14:paraId="5CE2AEA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类似</w:t>
            </w:r>
          </w:p>
          <w:p w14:paraId="3D5D8CA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1007" w:type="dxa"/>
            <w:tcBorders>
              <w:tl2br w:val="nil"/>
              <w:tr2bl w:val="nil"/>
            </w:tcBorders>
            <w:noWrap w:val="0"/>
            <w:vAlign w:val="center"/>
          </w:tcPr>
          <w:p w14:paraId="72DECE0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sz w:val="21"/>
                <w:szCs w:val="21"/>
                <w:highlight w:val="none"/>
                <w:lang w:val="en-US" w:eastAsia="zh-CN"/>
              </w:rPr>
              <w:t>12</w:t>
            </w:r>
          </w:p>
        </w:tc>
        <w:tc>
          <w:tcPr>
            <w:tcW w:w="6420" w:type="dxa"/>
            <w:tcBorders>
              <w:tl2br w:val="nil"/>
              <w:tr2bl w:val="nil"/>
            </w:tcBorders>
            <w:noWrap w:val="0"/>
            <w:vAlign w:val="center"/>
          </w:tcPr>
          <w:p w14:paraId="056F1FE7">
            <w:pPr>
              <w:keepNext w:val="0"/>
              <w:keepLines w:val="0"/>
              <w:pageBreakBefore w:val="0"/>
              <w:widowControl/>
              <w:suppressLineNumbers w:val="0"/>
              <w:kinsoku/>
              <w:wordWrap/>
              <w:overflowPunct/>
              <w:topLinePunct w:val="0"/>
              <w:autoSpaceDE/>
              <w:autoSpaceDN/>
              <w:bidi w:val="0"/>
              <w:spacing w:line="40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提供近三年（投标截止时间前36个月），供应商具有省级及以上同类型大型会务服务或展会策划业绩的，每提供 1个计4分，最高计 12 分，未提供不计分。 </w:t>
            </w:r>
          </w:p>
          <w:p w14:paraId="465E990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000000"/>
                <w:kern w:val="0"/>
                <w:sz w:val="21"/>
                <w:szCs w:val="21"/>
                <w:lang w:val="en-US" w:eastAsia="zh-CN" w:bidi="ar"/>
              </w:rPr>
              <w:t>注：提供相关业绩的中标通知书或合同，并加盖供应商公章，否则不计分。</w:t>
            </w:r>
          </w:p>
        </w:tc>
      </w:tr>
      <w:tr w14:paraId="044B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321" w:type="dxa"/>
            <w:vMerge w:val="continue"/>
            <w:tcBorders>
              <w:tl2br w:val="nil"/>
              <w:tr2bl w:val="nil"/>
            </w:tcBorders>
            <w:noWrap w:val="0"/>
            <w:vAlign w:val="center"/>
          </w:tcPr>
          <w:p w14:paraId="77E242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p>
        </w:tc>
        <w:tc>
          <w:tcPr>
            <w:tcW w:w="1294" w:type="dxa"/>
            <w:tcBorders>
              <w:tl2br w:val="nil"/>
              <w:tr2bl w:val="nil"/>
            </w:tcBorders>
            <w:noWrap w:val="0"/>
            <w:vAlign w:val="center"/>
          </w:tcPr>
          <w:p w14:paraId="57AA364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w:t>
            </w:r>
          </w:p>
          <w:p w14:paraId="4424C4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管理</w:t>
            </w:r>
          </w:p>
          <w:p w14:paraId="03313B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w:t>
            </w:r>
          </w:p>
          <w:p w14:paraId="7380EF4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团队</w:t>
            </w:r>
          </w:p>
        </w:tc>
        <w:tc>
          <w:tcPr>
            <w:tcW w:w="1007" w:type="dxa"/>
            <w:tcBorders>
              <w:tl2br w:val="nil"/>
              <w:tr2bl w:val="nil"/>
            </w:tcBorders>
            <w:noWrap w:val="0"/>
            <w:vAlign w:val="center"/>
          </w:tcPr>
          <w:p w14:paraId="21C10E3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6420" w:type="dxa"/>
            <w:tcBorders>
              <w:tl2br w:val="nil"/>
              <w:tr2bl w:val="nil"/>
            </w:tcBorders>
            <w:noWrap w:val="0"/>
            <w:vAlign w:val="center"/>
          </w:tcPr>
          <w:p w14:paraId="2F7BC11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拟投入本项目团队服务成员人数≥8人，计8分；每少1人扣1分，未提供不计分。 </w:t>
            </w:r>
          </w:p>
          <w:p w14:paraId="4AA6BF2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注：以上人员为本单位在职员工，并提供人员配备表、人员身份证复印件及</w:t>
            </w:r>
            <w:r>
              <w:rPr>
                <w:rFonts w:hint="eastAsia" w:ascii="宋体" w:hAnsi="宋体" w:eastAsia="宋体" w:cs="宋体"/>
                <w:color w:val="auto"/>
                <w:sz w:val="21"/>
                <w:szCs w:val="21"/>
                <w:highlight w:val="none"/>
                <w:lang w:val="en-US" w:eastAsia="zh-CN"/>
              </w:rPr>
              <w:t>在职人社保</w:t>
            </w:r>
            <w:r>
              <w:rPr>
                <w:rFonts w:hint="eastAsia" w:ascii="宋体" w:hAnsi="宋体" w:eastAsia="宋体" w:cs="宋体"/>
                <w:color w:val="auto"/>
                <w:szCs w:val="21"/>
                <w:highlight w:val="none"/>
                <w:lang w:val="en-US" w:eastAsia="zh-CN"/>
              </w:rPr>
              <w:t>的证明材料复印件(2025年07月-09月中的任意一个月)</w:t>
            </w:r>
            <w:r>
              <w:rPr>
                <w:rFonts w:hint="eastAsia" w:ascii="宋体" w:hAnsi="宋体" w:eastAsia="宋体" w:cs="宋体"/>
                <w:color w:val="auto"/>
                <w:sz w:val="21"/>
                <w:szCs w:val="21"/>
                <w:lang w:val="en-US" w:eastAsia="zh-CN"/>
              </w:rPr>
              <w:t>，并加盖供应商公章，否则不计分。</w:t>
            </w:r>
          </w:p>
        </w:tc>
      </w:tr>
      <w:tr w14:paraId="22D7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5" w:type="dxa"/>
            <w:gridSpan w:val="2"/>
            <w:tcBorders>
              <w:tl2br w:val="nil"/>
              <w:tr2bl w:val="nil"/>
            </w:tcBorders>
            <w:noWrap w:val="0"/>
            <w:vAlign w:val="center"/>
          </w:tcPr>
          <w:p w14:paraId="5F821B2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1007" w:type="dxa"/>
            <w:tcBorders>
              <w:tl2br w:val="nil"/>
              <w:tr2bl w:val="nil"/>
            </w:tcBorders>
            <w:noWrap w:val="0"/>
            <w:vAlign w:val="center"/>
          </w:tcPr>
          <w:p w14:paraId="6937AF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6420" w:type="dxa"/>
            <w:tcBorders>
              <w:tl2br w:val="nil"/>
              <w:tr2bl w:val="nil"/>
            </w:tcBorders>
            <w:noWrap w:val="0"/>
            <w:vAlign w:val="center"/>
          </w:tcPr>
          <w:p w14:paraId="3422F07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rPr>
            </w:pPr>
          </w:p>
        </w:tc>
      </w:tr>
    </w:tbl>
    <w:p w14:paraId="2BF554E8">
      <w:pPr>
        <w:pStyle w:val="35"/>
        <w:rPr>
          <w:rFonts w:ascii="宋体" w:hAnsi="宋体" w:eastAsia="宋体" w:cs="宋体"/>
          <w:color w:val="auto"/>
          <w:highlight w:val="none"/>
        </w:rPr>
      </w:pPr>
    </w:p>
    <w:p w14:paraId="36497312">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66D66D3F">
      <w:pPr>
        <w:adjustRightInd w:val="0"/>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磋商须知正文</w:t>
      </w:r>
    </w:p>
    <w:p w14:paraId="27C50E64">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一、说明</w:t>
      </w:r>
    </w:p>
    <w:p w14:paraId="74F7E615">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1.适用范围</w:t>
      </w:r>
    </w:p>
    <w:p w14:paraId="5F52536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 本磋商文件仅适用于磋商须知前附表(以下简称</w:t>
      </w:r>
      <w:r>
        <w:rPr>
          <w:rFonts w:hint="eastAsia" w:ascii="宋体" w:hAnsi="宋体" w:cs="宋体"/>
          <w:b/>
          <w:bCs/>
          <w:color w:val="auto"/>
          <w:highlight w:val="none"/>
        </w:rPr>
        <w:t>磋商须知前附表)</w:t>
      </w:r>
      <w:r>
        <w:rPr>
          <w:rFonts w:hint="eastAsia" w:ascii="宋体" w:hAnsi="宋体" w:cs="宋体"/>
          <w:color w:val="auto"/>
          <w:highlight w:val="none"/>
        </w:rPr>
        <w:t>中所叙述的采购项目。</w:t>
      </w:r>
    </w:p>
    <w:p w14:paraId="65418EC4">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2.定义</w:t>
      </w:r>
    </w:p>
    <w:p w14:paraId="5416DBB8">
      <w:pPr>
        <w:adjustRightInd w:val="0"/>
        <w:snapToGrid w:val="0"/>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2.1 “采购人”是指依法进行政府采购的国家机关、事业单位、团体组织。本次政府采购的采购人名称、地址、电话、联系人见</w:t>
      </w:r>
      <w:r>
        <w:rPr>
          <w:rFonts w:hint="eastAsia" w:ascii="宋体" w:hAnsi="宋体" w:cs="宋体"/>
          <w:b/>
          <w:bCs/>
          <w:color w:val="auto"/>
          <w:highlight w:val="none"/>
        </w:rPr>
        <w:t>磋商须知前附表</w:t>
      </w:r>
      <w:r>
        <w:rPr>
          <w:rFonts w:hint="eastAsia" w:ascii="宋体" w:hAnsi="宋体" w:cs="宋体"/>
          <w:color w:val="auto"/>
          <w:highlight w:val="none"/>
        </w:rPr>
        <w:t>。</w:t>
      </w:r>
    </w:p>
    <w:p w14:paraId="19832E61">
      <w:pPr>
        <w:adjustRightInd w:val="0"/>
        <w:snapToGrid w:val="0"/>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2.2 “采购代理机构”是指接受采购人委托，代理采购项目的集中采购机构和其他采购代理机构。本次政府采购的采购代理机构名称、地址、电话、联系人见</w:t>
      </w:r>
      <w:r>
        <w:rPr>
          <w:rFonts w:hint="eastAsia" w:ascii="宋体" w:hAnsi="宋体" w:cs="宋体"/>
          <w:b/>
          <w:bCs/>
          <w:color w:val="auto"/>
          <w:highlight w:val="none"/>
        </w:rPr>
        <w:t>磋商须知前附表。</w:t>
      </w:r>
    </w:p>
    <w:p w14:paraId="3316D2E1">
      <w:pPr>
        <w:adjustRightInd w:val="0"/>
        <w:snapToGrid w:val="0"/>
        <w:spacing w:line="360" w:lineRule="auto"/>
        <w:ind w:firstLine="420" w:firstLineChars="200"/>
        <w:rPr>
          <w:rFonts w:ascii="宋体" w:hAnsi="宋体" w:cs="宋体"/>
          <w:color w:val="auto"/>
          <w:kern w:val="36"/>
          <w:highlight w:val="none"/>
        </w:rPr>
      </w:pPr>
      <w:r>
        <w:rPr>
          <w:rFonts w:hint="eastAsia" w:ascii="宋体" w:hAnsi="宋体" w:cs="宋体"/>
          <w:color w:val="auto"/>
          <w:highlight w:val="none"/>
        </w:rPr>
        <w:t>2.3 “供应商”是指响应磋商文件要求、参加竞争性磋商采购的法人、其他组织或者自然人。本次政府采购项目</w:t>
      </w:r>
      <w:r>
        <w:rPr>
          <w:rFonts w:hint="eastAsia" w:ascii="宋体" w:hAnsi="宋体" w:cs="宋体"/>
          <w:color w:val="auto"/>
          <w:kern w:val="0"/>
          <w:highlight w:val="none"/>
        </w:rPr>
        <w:t>邀请</w:t>
      </w:r>
      <w:r>
        <w:rPr>
          <w:rFonts w:hint="eastAsia" w:ascii="宋体" w:hAnsi="宋体" w:cs="宋体"/>
          <w:color w:val="auto"/>
          <w:highlight w:val="none"/>
        </w:rPr>
        <w:t>的</w:t>
      </w:r>
      <w:r>
        <w:rPr>
          <w:rFonts w:hint="eastAsia" w:ascii="宋体" w:hAnsi="宋体" w:cs="宋体"/>
          <w:color w:val="auto"/>
          <w:kern w:val="0"/>
          <w:highlight w:val="none"/>
        </w:rPr>
        <w:t>供应商通过</w:t>
      </w:r>
      <w:r>
        <w:rPr>
          <w:rFonts w:hint="eastAsia" w:ascii="宋体" w:hAnsi="宋体" w:cs="宋体"/>
          <w:b/>
          <w:bCs/>
          <w:color w:val="auto"/>
          <w:highlight w:val="none"/>
        </w:rPr>
        <w:t>磋商须知前附表</w:t>
      </w:r>
      <w:r>
        <w:rPr>
          <w:rFonts w:hint="eastAsia" w:ascii="宋体" w:hAnsi="宋体" w:cs="宋体"/>
          <w:color w:val="auto"/>
          <w:highlight w:val="none"/>
        </w:rPr>
        <w:t>所述方式</w:t>
      </w:r>
      <w:r>
        <w:rPr>
          <w:rFonts w:hint="eastAsia" w:ascii="宋体" w:hAnsi="宋体" w:cs="宋体"/>
          <w:color w:val="auto"/>
          <w:kern w:val="0"/>
          <w:highlight w:val="none"/>
        </w:rPr>
        <w:t>，邀请符合资格条件的供应商提交响应文件（含资格证明资料），参与竞争性磋商采购活动。</w:t>
      </w:r>
    </w:p>
    <w:p w14:paraId="315F6294">
      <w:pPr>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highlight w:val="none"/>
        </w:rPr>
        <w:t>2.4 “磋商小组”是指</w:t>
      </w:r>
      <w:r>
        <w:rPr>
          <w:rFonts w:hint="eastAsia" w:ascii="宋体" w:hAnsi="宋体" w:cs="宋体"/>
          <w:color w:val="auto"/>
          <w:kern w:val="0"/>
          <w:highlight w:val="none"/>
        </w:rPr>
        <w:t>依据财政部</w:t>
      </w:r>
      <w:r>
        <w:rPr>
          <w:rFonts w:hint="eastAsia" w:ascii="宋体" w:hAnsi="宋体" w:cs="宋体"/>
          <w:color w:val="auto"/>
          <w:kern w:val="36"/>
          <w:highlight w:val="none"/>
        </w:rPr>
        <w:t>《政府采购竞争性磋商采购方式管理暂行办法》有关规定组建，依法依规</w:t>
      </w:r>
      <w:r>
        <w:rPr>
          <w:rFonts w:hint="eastAsia" w:ascii="宋体" w:hAnsi="宋体" w:cs="宋体"/>
          <w:color w:val="auto"/>
          <w:kern w:val="0"/>
          <w:highlight w:val="none"/>
        </w:rPr>
        <w:t>履行其职责和义务的机构。</w:t>
      </w:r>
    </w:p>
    <w:p w14:paraId="2C9CA9E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 “货物”是指各种形态和种类的物品，包括原资料、燃料、设备、产品等，详见《政府采购品目分类目录》(</w:t>
      </w:r>
      <w:r>
        <w:rPr>
          <w:rStyle w:val="24"/>
          <w:rFonts w:hint="eastAsia" w:ascii="宋体" w:hAnsi="宋体" w:cs="宋体"/>
          <w:b w:val="0"/>
          <w:bCs w:val="0"/>
          <w:color w:val="auto"/>
          <w:highlight w:val="none"/>
        </w:rPr>
        <w:t>财库[2013]189号</w:t>
      </w:r>
      <w:r>
        <w:rPr>
          <w:rFonts w:hint="eastAsia" w:ascii="宋体" w:hAnsi="宋体" w:cs="宋体"/>
          <w:color w:val="auto"/>
          <w:highlight w:val="none"/>
        </w:rPr>
        <w:t>)。</w:t>
      </w:r>
    </w:p>
    <w:p w14:paraId="759945E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2.6 “工程”是指建设工程，包括建筑物和构筑物的新建、改建、扩建、装修、拆除、修缮等，详见《政府采购品目分类目录》(</w:t>
      </w:r>
      <w:r>
        <w:rPr>
          <w:rStyle w:val="24"/>
          <w:rFonts w:hint="eastAsia" w:ascii="宋体" w:hAnsi="宋体" w:cs="宋体"/>
          <w:b w:val="0"/>
          <w:bCs w:val="0"/>
          <w:color w:val="auto"/>
          <w:highlight w:val="none"/>
        </w:rPr>
        <w:t>财库[2013]189号</w:t>
      </w:r>
      <w:r>
        <w:rPr>
          <w:rFonts w:hint="eastAsia" w:ascii="宋体" w:hAnsi="宋体" w:cs="宋体"/>
          <w:color w:val="auto"/>
          <w:highlight w:val="none"/>
        </w:rPr>
        <w:t>)。</w:t>
      </w:r>
    </w:p>
    <w:p w14:paraId="4892056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2.7 “服务”是指除货物和工程以外的其他政府采购对象，详见《政府采购品目分类目录》(</w:t>
      </w:r>
      <w:r>
        <w:rPr>
          <w:rStyle w:val="24"/>
          <w:rFonts w:hint="eastAsia" w:ascii="宋体" w:hAnsi="宋体" w:cs="宋体"/>
          <w:b w:val="0"/>
          <w:bCs w:val="0"/>
          <w:color w:val="auto"/>
          <w:highlight w:val="none"/>
        </w:rPr>
        <w:t>财库[2013]189号</w:t>
      </w:r>
      <w:r>
        <w:rPr>
          <w:rFonts w:hint="eastAsia" w:ascii="宋体" w:hAnsi="宋体" w:cs="宋体"/>
          <w:color w:val="auto"/>
          <w:highlight w:val="none"/>
        </w:rPr>
        <w:t>)。</w:t>
      </w:r>
    </w:p>
    <w:p w14:paraId="4382542A">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3.供应商的资格要求</w:t>
      </w:r>
    </w:p>
    <w:p w14:paraId="65AB091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3.1 供应商应当符合</w:t>
      </w:r>
      <w:r>
        <w:rPr>
          <w:rFonts w:hint="eastAsia" w:ascii="宋体" w:hAnsi="宋体" w:cs="宋体"/>
          <w:b/>
          <w:bCs/>
          <w:color w:val="auto"/>
          <w:highlight w:val="none"/>
        </w:rPr>
        <w:t>磋商须知前附表</w:t>
      </w:r>
      <w:r>
        <w:rPr>
          <w:rFonts w:hint="eastAsia" w:ascii="宋体" w:hAnsi="宋体" w:cs="宋体"/>
          <w:color w:val="auto"/>
          <w:highlight w:val="none"/>
        </w:rPr>
        <w:t>中规定的资格条件要求。</w:t>
      </w:r>
    </w:p>
    <w:p w14:paraId="3C584819">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3.2供应商为联合体形式的，除应满足本章第3.1款资格条件要求及第3.3款规定外，还应遵守以下规定：</w:t>
      </w:r>
    </w:p>
    <w:p w14:paraId="1B3E77C0">
      <w:pPr>
        <w:adjustRightInd w:val="0"/>
        <w:snapToGrid w:val="0"/>
        <w:spacing w:line="360" w:lineRule="auto"/>
        <w:ind w:firstLine="420" w:firstLineChars="200"/>
        <w:jc w:val="left"/>
        <w:rPr>
          <w:rFonts w:ascii="宋体" w:hAnsi="宋体" w:cs="宋体"/>
          <w:color w:val="auto"/>
          <w:kern w:val="0"/>
          <w:highlight w:val="none"/>
          <w:lang w:val="zh-CN"/>
        </w:rPr>
      </w:pPr>
      <w:r>
        <w:rPr>
          <w:rFonts w:hint="eastAsia" w:ascii="宋体" w:hAnsi="宋体" w:cs="宋体"/>
          <w:color w:val="auto"/>
          <w:kern w:val="0"/>
          <w:highlight w:val="none"/>
          <w:lang w:val="zh-CN"/>
        </w:rPr>
        <w:t>（1）联合体各方应按磋商文件提供的格式签订联合体协议书，明确联合体牵头人和各方权利义务(含承担工作及工作量比例)；</w:t>
      </w:r>
    </w:p>
    <w:p w14:paraId="21AEBC5E">
      <w:pPr>
        <w:adjustRightInd w:val="0"/>
        <w:snapToGrid w:val="0"/>
        <w:spacing w:line="360" w:lineRule="auto"/>
        <w:ind w:firstLine="420" w:firstLineChars="200"/>
        <w:jc w:val="left"/>
        <w:rPr>
          <w:rFonts w:ascii="宋体" w:hAnsi="宋体" w:cs="宋体"/>
          <w:color w:val="auto"/>
          <w:kern w:val="0"/>
          <w:highlight w:val="none"/>
          <w:lang w:val="zh-CN"/>
        </w:rPr>
      </w:pPr>
      <w:r>
        <w:rPr>
          <w:rFonts w:hint="eastAsia" w:ascii="宋体" w:hAnsi="宋体" w:cs="宋体"/>
          <w:color w:val="auto"/>
          <w:kern w:val="0"/>
          <w:highlight w:val="none"/>
          <w:lang w:val="zh-CN"/>
        </w:rPr>
        <w:t>（2）联合体中有同类资质的供应商按照联合体分工承担相同工作的，应当按照资质等级较低的供应商确定资质等级；</w:t>
      </w:r>
    </w:p>
    <w:p w14:paraId="2CF6BB44">
      <w:pPr>
        <w:adjustRightInd w:val="0"/>
        <w:snapToGrid w:val="0"/>
        <w:spacing w:line="360" w:lineRule="auto"/>
        <w:ind w:firstLine="420" w:firstLineChars="200"/>
        <w:jc w:val="left"/>
        <w:rPr>
          <w:rFonts w:ascii="宋体" w:hAnsi="宋体" w:cs="宋体"/>
          <w:color w:val="auto"/>
          <w:kern w:val="0"/>
          <w:highlight w:val="none"/>
          <w:lang w:val="zh-CN"/>
        </w:rPr>
      </w:pPr>
      <w:r>
        <w:rPr>
          <w:rFonts w:hint="eastAsia" w:ascii="宋体" w:hAnsi="宋体" w:cs="宋体"/>
          <w:color w:val="auto"/>
          <w:kern w:val="0"/>
          <w:highlight w:val="none"/>
          <w:lang w:val="zh-CN"/>
        </w:rPr>
        <w:t>（3）以联合体形式参加政府采购活动的，联合体各方不得再单独参加或者与其他供应商另外组成联合体参加同一合同项下的政府采购活动。</w:t>
      </w:r>
    </w:p>
    <w:p w14:paraId="22B297D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3.3 供应商不得存在下列情形之一：</w:t>
      </w:r>
    </w:p>
    <w:p w14:paraId="3FC8501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（l）与采购人、采购代理机构存在隶属关系或者其他利害关系。</w:t>
      </w:r>
    </w:p>
    <w:p w14:paraId="5B744CF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（2）与其他供应商的法定代表人（或者负责人）为同一人，或者与其他供应商存在直接控股、管理关系。</w:t>
      </w:r>
    </w:p>
    <w:p w14:paraId="4F0FAEA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受到刑事处罚，或者受到较大数额的罚款、责令停产停业、在一至三年内禁止参加政府采购活动、暂扣或者吊销许可证、暂扣或者吊销执照等情形之一的行政处罚，或者存在财政部门认定的其他重大违法记录。</w:t>
      </w:r>
    </w:p>
    <w:p w14:paraId="71118230">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4.参与磋商的费用</w:t>
      </w:r>
    </w:p>
    <w:p w14:paraId="049BCA5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 无论磋商的结果如何，供应商应自行承担所有与竞争性磋商采购活动有关的全部费用。</w:t>
      </w:r>
    </w:p>
    <w:p w14:paraId="580E81CF">
      <w:pPr>
        <w:pStyle w:val="11"/>
        <w:adjustRightInd w:val="0"/>
        <w:snapToGrid w:val="0"/>
        <w:spacing w:line="360" w:lineRule="auto"/>
        <w:rPr>
          <w:rFonts w:hAnsi="宋体"/>
          <w:b/>
          <w:bCs/>
          <w:color w:val="auto"/>
          <w:highlight w:val="none"/>
        </w:rPr>
      </w:pPr>
      <w:r>
        <w:rPr>
          <w:rFonts w:hint="eastAsia" w:hAnsi="宋体"/>
          <w:b/>
          <w:bCs/>
          <w:color w:val="auto"/>
          <w:highlight w:val="none"/>
        </w:rPr>
        <w:t>5．授权委托</w:t>
      </w:r>
    </w:p>
    <w:p w14:paraId="7896ABF0">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5.1供应商代表为供应商法定代表人的，应具备法定代表人身份证明。供应商代表不是供应商法定代表人的，应具备法定代表人授权书，并附法定代表人身份证明。</w:t>
      </w:r>
    </w:p>
    <w:p w14:paraId="23171A72">
      <w:pPr>
        <w:pStyle w:val="11"/>
        <w:adjustRightInd w:val="0"/>
        <w:snapToGrid w:val="0"/>
        <w:spacing w:line="360" w:lineRule="auto"/>
        <w:rPr>
          <w:rFonts w:hAnsi="宋体"/>
          <w:b/>
          <w:bCs/>
          <w:color w:val="auto"/>
          <w:highlight w:val="none"/>
        </w:rPr>
      </w:pPr>
      <w:r>
        <w:rPr>
          <w:rFonts w:hint="eastAsia" w:hAnsi="宋体"/>
          <w:b/>
          <w:bCs/>
          <w:color w:val="auto"/>
          <w:highlight w:val="none"/>
        </w:rPr>
        <w:t>6．联合体形式</w:t>
      </w:r>
    </w:p>
    <w:p w14:paraId="632F6B56">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6.1除</w:t>
      </w:r>
      <w:r>
        <w:rPr>
          <w:rFonts w:hint="eastAsia" w:hAnsi="宋体"/>
          <w:b/>
          <w:bCs/>
          <w:color w:val="auto"/>
          <w:highlight w:val="none"/>
        </w:rPr>
        <w:t>磋商须知前附表</w:t>
      </w:r>
      <w:r>
        <w:rPr>
          <w:rFonts w:hint="eastAsia" w:hAnsi="宋体"/>
          <w:color w:val="auto"/>
          <w:highlight w:val="none"/>
        </w:rPr>
        <w:t>中另有规定，本次磋商采购不接受为联合体形式的供应商。</w:t>
      </w:r>
    </w:p>
    <w:p w14:paraId="3618D5C3">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6.2供应商为联合体形式的，除应符合本章第3条规定外，还应遵守以下规定：</w:t>
      </w:r>
    </w:p>
    <w:p w14:paraId="194233A2">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（l）联合体各方必须签订联合体协议书，明确联合体牵头人和各方的义务、工作、合同工作量比例；</w:t>
      </w:r>
    </w:p>
    <w:p w14:paraId="4BCE91BE">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（2）联合体各方均应当符合本章第3.1</w:t>
      </w:r>
      <w:r>
        <w:rPr>
          <w:rFonts w:hint="eastAsia" w:ascii="宋体" w:hAnsi="宋体" w:cs="宋体"/>
          <w:color w:val="auto"/>
          <w:kern w:val="0"/>
          <w:highlight w:val="none"/>
          <w:lang w:val="zh-CN"/>
        </w:rPr>
        <w:t>款</w:t>
      </w:r>
      <w:r>
        <w:rPr>
          <w:rFonts w:hint="eastAsia" w:ascii="宋体" w:hAnsi="宋体" w:cs="宋体"/>
          <w:color w:val="auto"/>
          <w:highlight w:val="none"/>
        </w:rPr>
        <w:t>规定的供应商基本资格条件；</w:t>
      </w:r>
    </w:p>
    <w:p w14:paraId="74BBDAAA">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（3）除</w:t>
      </w:r>
      <w:r>
        <w:rPr>
          <w:rFonts w:hint="eastAsia" w:ascii="宋体" w:hAnsi="宋体" w:cs="宋体"/>
          <w:b/>
          <w:bCs/>
          <w:color w:val="auto"/>
          <w:highlight w:val="none"/>
        </w:rPr>
        <w:t>磋商须知前附表</w:t>
      </w:r>
      <w:r>
        <w:rPr>
          <w:rFonts w:hint="eastAsia" w:ascii="宋体" w:hAnsi="宋体" w:cs="宋体"/>
          <w:color w:val="auto"/>
          <w:highlight w:val="none"/>
        </w:rPr>
        <w:t>中另有规定，联合体各方中至少有一方应当符合本章第3.1</w:t>
      </w:r>
      <w:r>
        <w:rPr>
          <w:rFonts w:hint="eastAsia" w:ascii="宋体" w:hAnsi="宋体" w:cs="宋体"/>
          <w:color w:val="auto"/>
          <w:kern w:val="0"/>
          <w:highlight w:val="none"/>
          <w:lang w:val="zh-CN"/>
        </w:rPr>
        <w:t>款</w:t>
      </w:r>
      <w:r>
        <w:rPr>
          <w:rFonts w:hint="eastAsia" w:ascii="宋体" w:hAnsi="宋体" w:cs="宋体"/>
          <w:color w:val="auto"/>
          <w:highlight w:val="none"/>
        </w:rPr>
        <w:t>规定的供应商特定资格条件；</w:t>
      </w:r>
    </w:p>
    <w:p w14:paraId="2B5AD163">
      <w:pPr>
        <w:adjustRightInd w:val="0"/>
        <w:snapToGrid w:val="0"/>
        <w:spacing w:line="360" w:lineRule="auto"/>
        <w:ind w:firstLine="420" w:firstLineChars="200"/>
        <w:jc w:val="left"/>
        <w:rPr>
          <w:rFonts w:ascii="宋体" w:hAnsi="宋体" w:cs="宋体"/>
          <w:color w:val="auto"/>
          <w:kern w:val="0"/>
          <w:highlight w:val="none"/>
          <w:lang w:val="zh-CN"/>
        </w:rPr>
      </w:pPr>
      <w:r>
        <w:rPr>
          <w:rFonts w:hint="eastAsia" w:ascii="宋体" w:hAnsi="宋体" w:cs="宋体"/>
          <w:color w:val="auto"/>
          <w:highlight w:val="none"/>
        </w:rPr>
        <w:t>（4）</w:t>
      </w:r>
      <w:r>
        <w:rPr>
          <w:rFonts w:hint="eastAsia" w:ascii="宋体" w:hAnsi="宋体" w:cs="宋体"/>
          <w:color w:val="auto"/>
          <w:kern w:val="0"/>
          <w:highlight w:val="none"/>
          <w:lang w:val="zh-CN"/>
        </w:rPr>
        <w:t>联合体各方不得再单独或与其他供应商组成新的联合体参加同一项目的采购活动。</w:t>
      </w:r>
    </w:p>
    <w:p w14:paraId="49621744">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7.现场勘察</w:t>
      </w:r>
    </w:p>
    <w:p w14:paraId="0A5898D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7.1供应商应按</w:t>
      </w:r>
      <w:r>
        <w:rPr>
          <w:rFonts w:hint="eastAsia" w:ascii="宋体" w:hAnsi="宋体" w:cs="宋体"/>
          <w:b/>
          <w:bCs/>
          <w:color w:val="auto"/>
          <w:highlight w:val="none"/>
        </w:rPr>
        <w:t>磋商须知前附表</w:t>
      </w:r>
      <w:r>
        <w:rPr>
          <w:rFonts w:hint="eastAsia" w:ascii="宋体" w:hAnsi="宋体" w:cs="宋体"/>
          <w:color w:val="auto"/>
          <w:highlight w:val="none"/>
        </w:rPr>
        <w:t>中规定对采购项目现场和周围环境的现场考察。</w:t>
      </w:r>
    </w:p>
    <w:p w14:paraId="702E59B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7.2勘察现场的费用由供应商自己承担，勘察期间所发生的人身伤害及财产损失由供应商自己负责。</w:t>
      </w:r>
    </w:p>
    <w:p w14:paraId="22FBDF2D">
      <w:pPr>
        <w:adjustRightInd w:val="0"/>
        <w:snapToGrid w:val="0"/>
        <w:spacing w:line="360" w:lineRule="auto"/>
        <w:ind w:firstLine="420" w:firstLineChars="200"/>
        <w:jc w:val="left"/>
        <w:rPr>
          <w:rFonts w:ascii="宋体" w:hAnsi="宋体" w:cs="宋体"/>
          <w:b/>
          <w:bCs/>
          <w:color w:val="auto"/>
          <w:highlight w:val="none"/>
        </w:rPr>
      </w:pPr>
      <w:r>
        <w:rPr>
          <w:rFonts w:hint="eastAsia" w:ascii="宋体" w:hAnsi="宋体" w:cs="宋体"/>
          <w:color w:val="auto"/>
          <w:highlight w:val="none"/>
        </w:rPr>
        <w:t>7.3采购人不对供应商据此而做出的推论、理解和结论负责。一旦成交，供应商不得以任何借口，提出额外补偿，或延长合同期限的要求。</w:t>
      </w:r>
    </w:p>
    <w:p w14:paraId="09225965">
      <w:pPr>
        <w:adjustRightInd w:val="0"/>
        <w:snapToGrid w:val="0"/>
        <w:spacing w:line="360" w:lineRule="auto"/>
        <w:jc w:val="left"/>
        <w:rPr>
          <w:rFonts w:ascii="宋体" w:hAnsi="宋体" w:cs="宋体"/>
          <w:b/>
          <w:bCs/>
          <w:color w:val="auto"/>
          <w:highlight w:val="none"/>
        </w:rPr>
      </w:pPr>
      <w:r>
        <w:rPr>
          <w:rFonts w:hint="eastAsia" w:ascii="宋体" w:hAnsi="宋体" w:cs="宋体"/>
          <w:b/>
          <w:bCs/>
          <w:color w:val="auto"/>
          <w:highlight w:val="none"/>
        </w:rPr>
        <w:t>8.采购进口产品</w:t>
      </w:r>
    </w:p>
    <w:p w14:paraId="557EB186">
      <w:pPr>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highlight w:val="none"/>
        </w:rPr>
        <w:t>8.1除</w:t>
      </w:r>
      <w:r>
        <w:rPr>
          <w:rFonts w:hint="eastAsia" w:ascii="宋体" w:hAnsi="宋体" w:cs="宋体"/>
          <w:b/>
          <w:bCs/>
          <w:color w:val="auto"/>
          <w:highlight w:val="none"/>
        </w:rPr>
        <w:t>磋商文件前附表</w:t>
      </w:r>
      <w:r>
        <w:rPr>
          <w:rFonts w:hint="eastAsia" w:ascii="宋体" w:hAnsi="宋体" w:cs="宋体"/>
          <w:color w:val="auto"/>
          <w:highlight w:val="none"/>
        </w:rPr>
        <w:t>另有规定外，本项目</w:t>
      </w:r>
      <w:r>
        <w:rPr>
          <w:rFonts w:hint="eastAsia" w:ascii="宋体" w:hAnsi="宋体" w:cs="宋体"/>
          <w:color w:val="auto"/>
          <w:kern w:val="0"/>
          <w:highlight w:val="none"/>
        </w:rPr>
        <w:t>拒绝进口产品参加</w:t>
      </w:r>
      <w:r>
        <w:rPr>
          <w:rFonts w:hint="eastAsia" w:ascii="宋体" w:hAnsi="宋体" w:cs="宋体"/>
          <w:color w:val="auto"/>
          <w:highlight w:val="none"/>
        </w:rPr>
        <w:t>竞争性磋商采购活动</w:t>
      </w:r>
      <w:r>
        <w:rPr>
          <w:rFonts w:hint="eastAsia" w:ascii="宋体" w:hAnsi="宋体" w:cs="宋体"/>
          <w:color w:val="auto"/>
          <w:kern w:val="0"/>
          <w:highlight w:val="none"/>
        </w:rPr>
        <w:t>。</w:t>
      </w:r>
    </w:p>
    <w:p w14:paraId="3BEB4C34">
      <w:pPr>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8.2</w:t>
      </w:r>
      <w:r>
        <w:rPr>
          <w:rFonts w:hint="eastAsia" w:ascii="宋体" w:hAnsi="宋体" w:cs="宋体"/>
          <w:color w:val="auto"/>
          <w:highlight w:val="none"/>
        </w:rPr>
        <w:t>本章第7.1</w:t>
      </w:r>
      <w:r>
        <w:rPr>
          <w:rFonts w:hint="eastAsia" w:ascii="宋体" w:hAnsi="宋体" w:cs="宋体"/>
          <w:color w:val="auto"/>
          <w:kern w:val="0"/>
          <w:highlight w:val="none"/>
          <w:lang w:val="zh-CN"/>
        </w:rPr>
        <w:t>款</w:t>
      </w:r>
      <w:r>
        <w:rPr>
          <w:rFonts w:hint="eastAsia" w:ascii="宋体" w:hAnsi="宋体" w:cs="宋体"/>
          <w:color w:val="auto"/>
          <w:highlight w:val="none"/>
        </w:rPr>
        <w:t>规定</w:t>
      </w:r>
      <w:r>
        <w:rPr>
          <w:rFonts w:hint="eastAsia" w:ascii="宋体" w:hAnsi="宋体" w:cs="宋体"/>
          <w:color w:val="auto"/>
          <w:kern w:val="0"/>
          <w:highlight w:val="none"/>
        </w:rPr>
        <w:t>同意购买进口产品的，</w:t>
      </w:r>
      <w:r>
        <w:rPr>
          <w:rFonts w:hint="eastAsia" w:ascii="宋体" w:hAnsi="宋体" w:cs="宋体"/>
          <w:color w:val="auto"/>
          <w:highlight w:val="none"/>
        </w:rPr>
        <w:t>本项目</w:t>
      </w:r>
      <w:r>
        <w:rPr>
          <w:rFonts w:hint="eastAsia" w:ascii="宋体" w:hAnsi="宋体" w:cs="宋体"/>
          <w:color w:val="auto"/>
          <w:kern w:val="0"/>
          <w:highlight w:val="none"/>
          <w:lang w:val="zh-CN"/>
        </w:rPr>
        <w:t>采购活动</w:t>
      </w:r>
      <w:r>
        <w:rPr>
          <w:rFonts w:hint="eastAsia" w:ascii="宋体" w:hAnsi="宋体" w:cs="宋体"/>
          <w:color w:val="auto"/>
          <w:kern w:val="0"/>
          <w:highlight w:val="none"/>
        </w:rPr>
        <w:t>不限制满足</w:t>
      </w:r>
      <w:r>
        <w:rPr>
          <w:rFonts w:hint="eastAsia" w:ascii="宋体" w:hAnsi="宋体" w:cs="宋体"/>
          <w:color w:val="auto"/>
          <w:highlight w:val="none"/>
        </w:rPr>
        <w:t>磋商文件要求</w:t>
      </w:r>
      <w:r>
        <w:rPr>
          <w:rFonts w:hint="eastAsia" w:ascii="宋体" w:hAnsi="宋体" w:cs="宋体"/>
          <w:color w:val="auto"/>
          <w:kern w:val="0"/>
          <w:highlight w:val="none"/>
        </w:rPr>
        <w:t>的国内产品参与</w:t>
      </w:r>
      <w:r>
        <w:rPr>
          <w:rFonts w:hint="eastAsia" w:ascii="宋体" w:hAnsi="宋体" w:cs="宋体"/>
          <w:color w:val="auto"/>
          <w:highlight w:val="none"/>
        </w:rPr>
        <w:t>竞争性磋商</w:t>
      </w:r>
      <w:r>
        <w:rPr>
          <w:rFonts w:hint="eastAsia" w:ascii="宋体" w:hAnsi="宋体" w:cs="宋体"/>
          <w:color w:val="auto"/>
          <w:kern w:val="0"/>
          <w:highlight w:val="none"/>
        </w:rPr>
        <w:t>。</w:t>
      </w:r>
    </w:p>
    <w:p w14:paraId="3AD8DFAE">
      <w:pPr>
        <w:adjustRightInd w:val="0"/>
        <w:snapToGrid w:val="0"/>
        <w:spacing w:line="360" w:lineRule="auto"/>
        <w:jc w:val="left"/>
        <w:rPr>
          <w:rFonts w:ascii="宋体" w:hAnsi="宋体" w:cs="宋体"/>
          <w:b/>
          <w:bCs/>
          <w:color w:val="auto"/>
          <w:highlight w:val="none"/>
        </w:rPr>
      </w:pPr>
      <w:r>
        <w:rPr>
          <w:rFonts w:hint="eastAsia" w:ascii="宋体" w:hAnsi="宋体" w:cs="宋体"/>
          <w:b/>
          <w:bCs/>
          <w:color w:val="auto"/>
          <w:highlight w:val="none"/>
        </w:rPr>
        <w:t>9. 政府采购政策支持</w:t>
      </w:r>
    </w:p>
    <w:p w14:paraId="7A60E55A">
      <w:pPr>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bCs/>
          <w:color w:val="auto"/>
          <w:kern w:val="0"/>
          <w:highlight w:val="none"/>
        </w:rPr>
        <w:t>磋商文件前附表。</w:t>
      </w:r>
    </w:p>
    <w:p w14:paraId="04B85D96">
      <w:pPr>
        <w:pStyle w:val="11"/>
        <w:adjustRightInd w:val="0"/>
        <w:snapToGrid w:val="0"/>
        <w:spacing w:line="360" w:lineRule="auto"/>
        <w:ind w:firstLine="420" w:firstLineChars="200"/>
        <w:rPr>
          <w:rFonts w:hAnsi="宋体"/>
          <w:color w:val="auto"/>
          <w:highlight w:val="none"/>
        </w:rPr>
      </w:pPr>
      <w:r>
        <w:rPr>
          <w:rFonts w:hint="eastAsia" w:hAnsi="宋体"/>
          <w:color w:val="auto"/>
          <w:kern w:val="0"/>
          <w:highlight w:val="none"/>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w:t>
      </w:r>
      <w:r>
        <w:rPr>
          <w:rFonts w:hint="eastAsia" w:hAnsi="宋体"/>
          <w:color w:val="auto"/>
          <w:highlight w:val="none"/>
        </w:rPr>
        <w:t>或《长沙市两型产品目录》</w:t>
      </w:r>
      <w:r>
        <w:rPr>
          <w:rFonts w:hint="eastAsia" w:hAnsi="宋体"/>
          <w:color w:val="auto"/>
          <w:kern w:val="0"/>
          <w:highlight w:val="none"/>
        </w:rPr>
        <w:t>的“两型产品”以及中小企业，实行优先采购，按照省级以上财政部门有关政策规定，评审时进行价格扣除或加分。实行政府采购优先采购的优惠率见</w:t>
      </w:r>
      <w:r>
        <w:rPr>
          <w:rFonts w:hint="eastAsia" w:hAnsi="宋体"/>
          <w:b/>
          <w:bCs/>
          <w:color w:val="auto"/>
          <w:kern w:val="0"/>
          <w:highlight w:val="none"/>
        </w:rPr>
        <w:t>磋商文件前附表。</w:t>
      </w:r>
    </w:p>
    <w:p w14:paraId="69421872">
      <w:pPr>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14:paraId="6EEB1E5C">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9.4同一项目中部分产品属于优先采购政策的，评审时只对该部分产品的报价实行价格扣除及加分。</w:t>
      </w:r>
    </w:p>
    <w:p w14:paraId="688A6448">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9.5符合本章第9.1</w:t>
      </w:r>
      <w:r>
        <w:rPr>
          <w:rFonts w:hint="eastAsia" w:ascii="宋体" w:hAnsi="宋体" w:cs="宋体"/>
          <w:color w:val="auto"/>
          <w:kern w:val="0"/>
          <w:highlight w:val="none"/>
          <w:lang w:val="zh-CN"/>
        </w:rPr>
        <w:t>款、</w:t>
      </w:r>
      <w:r>
        <w:rPr>
          <w:rFonts w:hint="eastAsia" w:ascii="宋体" w:hAnsi="宋体" w:cs="宋体"/>
          <w:color w:val="auto"/>
          <w:highlight w:val="none"/>
        </w:rPr>
        <w:t>第9.2</w:t>
      </w:r>
      <w:r>
        <w:rPr>
          <w:rFonts w:hint="eastAsia" w:ascii="宋体" w:hAnsi="宋体" w:cs="宋体"/>
          <w:color w:val="auto"/>
          <w:kern w:val="0"/>
          <w:highlight w:val="none"/>
          <w:lang w:val="zh-CN"/>
        </w:rPr>
        <w:t>款</w:t>
      </w:r>
      <w:r>
        <w:rPr>
          <w:rFonts w:hint="eastAsia" w:ascii="宋体" w:hAnsi="宋体" w:cs="宋体"/>
          <w:color w:val="auto"/>
          <w:highlight w:val="none"/>
        </w:rPr>
        <w:t>规定的，应提供相关证明资料。</w:t>
      </w:r>
    </w:p>
    <w:p w14:paraId="256BEF66">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9.6供应商有融资、担保需求的，具体办理流程可向</w:t>
      </w:r>
      <w:r>
        <w:rPr>
          <w:rFonts w:hint="eastAsia" w:ascii="宋体" w:hAnsi="宋体" w:cs="宋体"/>
          <w:b/>
          <w:bCs/>
          <w:color w:val="auto"/>
          <w:highlight w:val="none"/>
        </w:rPr>
        <w:t>磋商须知前附表</w:t>
      </w:r>
      <w:r>
        <w:rPr>
          <w:rFonts w:hint="eastAsia" w:ascii="宋体" w:hAnsi="宋体" w:cs="宋体"/>
          <w:color w:val="auto"/>
          <w:highlight w:val="none"/>
        </w:rPr>
        <w:t>所列金融机构和担保机构询问。</w:t>
      </w:r>
    </w:p>
    <w:p w14:paraId="5B182A02">
      <w:pPr>
        <w:adjustRightInd w:val="0"/>
        <w:snapToGrid w:val="0"/>
        <w:spacing w:line="360" w:lineRule="auto"/>
        <w:ind w:left="902" w:hanging="902" w:hangingChars="376"/>
        <w:rPr>
          <w:rFonts w:ascii="宋体" w:hAnsi="宋体" w:cs="宋体"/>
          <w:color w:val="auto"/>
          <w:sz w:val="24"/>
          <w:szCs w:val="24"/>
          <w:highlight w:val="none"/>
        </w:rPr>
      </w:pPr>
      <w:r>
        <w:rPr>
          <w:rFonts w:hint="eastAsia" w:ascii="宋体" w:hAnsi="宋体" w:cs="宋体"/>
          <w:color w:val="auto"/>
          <w:sz w:val="24"/>
          <w:szCs w:val="24"/>
          <w:highlight w:val="none"/>
        </w:rPr>
        <w:t>二、磋商文件</w:t>
      </w:r>
    </w:p>
    <w:p w14:paraId="4D73217B">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10．磋商文件的组成</w:t>
      </w:r>
    </w:p>
    <w:p w14:paraId="07AE4855">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10.1 磋商文件由下列文件组成：</w:t>
      </w:r>
    </w:p>
    <w:p w14:paraId="436E8119">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第一章磋商邀请</w:t>
      </w:r>
    </w:p>
    <w:p w14:paraId="7658F89F">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第二章磋商须知</w:t>
      </w:r>
    </w:p>
    <w:p w14:paraId="6419B0E0">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第三章政府采购合同格式条款</w:t>
      </w:r>
    </w:p>
    <w:p w14:paraId="3DB23C4F">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第四章采购需求</w:t>
      </w:r>
    </w:p>
    <w:p w14:paraId="25A10F4A">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第五章响应文件组成</w:t>
      </w:r>
    </w:p>
    <w:p w14:paraId="4E22810B">
      <w:pPr>
        <w:pStyle w:val="11"/>
        <w:adjustRightInd w:val="0"/>
        <w:snapToGrid w:val="0"/>
        <w:spacing w:line="360" w:lineRule="auto"/>
        <w:ind w:firstLine="420" w:firstLineChars="200"/>
        <w:rPr>
          <w:rFonts w:hAnsi="宋体"/>
          <w:color w:val="auto"/>
          <w:kern w:val="0"/>
          <w:highlight w:val="none"/>
        </w:rPr>
      </w:pPr>
      <w:r>
        <w:rPr>
          <w:rFonts w:hint="eastAsia" w:hAnsi="宋体"/>
          <w:color w:val="auto"/>
          <w:highlight w:val="none"/>
        </w:rPr>
        <w:t>10.2</w:t>
      </w:r>
      <w:r>
        <w:rPr>
          <w:rFonts w:hint="eastAsia" w:hAnsi="宋体"/>
          <w:color w:val="auto"/>
          <w:kern w:val="0"/>
          <w:highlight w:val="none"/>
        </w:rPr>
        <w:t>磋商小组根据与供应商磋商情况可能实质性变动的内容，包括采购需求中的技术、服务要求以及合同条款，</w:t>
      </w:r>
      <w:r>
        <w:rPr>
          <w:rFonts w:hint="eastAsia" w:hAnsi="宋体"/>
          <w:color w:val="auto"/>
          <w:highlight w:val="none"/>
        </w:rPr>
        <w:t>在</w:t>
      </w:r>
      <w:r>
        <w:rPr>
          <w:rFonts w:hint="eastAsia" w:hAnsi="宋体"/>
          <w:b/>
          <w:bCs/>
          <w:color w:val="auto"/>
          <w:highlight w:val="none"/>
        </w:rPr>
        <w:t>磋商须知前附表</w:t>
      </w:r>
      <w:r>
        <w:rPr>
          <w:rFonts w:hint="eastAsia" w:hAnsi="宋体"/>
          <w:color w:val="auto"/>
          <w:highlight w:val="none"/>
        </w:rPr>
        <w:t>中明确。</w:t>
      </w:r>
    </w:p>
    <w:p w14:paraId="051DB7A2">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10.3供应商应仔细阅读磋商文件的全部内容，按照磋商文件要求编制响应文件。任何对磋商文件的忽略或误解不能作为响应文件存在缺陷或瑕疵的理由，其风险由供应商承担。</w:t>
      </w:r>
    </w:p>
    <w:p w14:paraId="036CAE57">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11.磋商文件的提供期限</w:t>
      </w:r>
    </w:p>
    <w:p w14:paraId="6907FE9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11.1磋商文件的提供期限自开始发出之日起不得少于五个工作日。具体提供期限见</w:t>
      </w:r>
      <w:r>
        <w:rPr>
          <w:rFonts w:hint="eastAsia" w:ascii="宋体" w:hAnsi="宋体" w:cs="宋体"/>
          <w:b/>
          <w:bCs/>
          <w:color w:val="auto"/>
          <w:highlight w:val="none"/>
        </w:rPr>
        <w:t>磋商文件前附表</w:t>
      </w:r>
      <w:r>
        <w:rPr>
          <w:rFonts w:hint="eastAsia" w:ascii="宋体" w:hAnsi="宋体" w:cs="宋体"/>
          <w:color w:val="auto"/>
          <w:highlight w:val="none"/>
        </w:rPr>
        <w:t>。</w:t>
      </w:r>
    </w:p>
    <w:p w14:paraId="763E34FF">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11.2供应商应持</w:t>
      </w:r>
      <w:r>
        <w:rPr>
          <w:rFonts w:hint="eastAsia" w:ascii="宋体" w:hAnsi="宋体" w:cs="宋体"/>
          <w:b/>
          <w:bCs/>
          <w:color w:val="auto"/>
          <w:highlight w:val="none"/>
        </w:rPr>
        <w:t>磋商文件前附表</w:t>
      </w:r>
      <w:r>
        <w:rPr>
          <w:rFonts w:hint="eastAsia" w:ascii="宋体" w:hAnsi="宋体" w:cs="宋体"/>
          <w:color w:val="auto"/>
          <w:highlight w:val="none"/>
        </w:rPr>
        <w:t>规定的资料领取或购买磋商文件。</w:t>
      </w:r>
    </w:p>
    <w:p w14:paraId="18B8C611">
      <w:pPr>
        <w:pStyle w:val="11"/>
        <w:adjustRightInd w:val="0"/>
        <w:snapToGrid w:val="0"/>
        <w:spacing w:line="360" w:lineRule="auto"/>
        <w:rPr>
          <w:rFonts w:hAnsi="宋体"/>
          <w:color w:val="auto"/>
          <w:highlight w:val="none"/>
        </w:rPr>
      </w:pPr>
      <w:r>
        <w:rPr>
          <w:rFonts w:hint="eastAsia" w:hAnsi="宋体"/>
          <w:b/>
          <w:bCs/>
          <w:color w:val="auto"/>
          <w:highlight w:val="none"/>
        </w:rPr>
        <w:t>12.</w:t>
      </w:r>
      <w:r>
        <w:rPr>
          <w:rFonts w:hint="eastAsia" w:hAnsi="宋体"/>
          <w:b/>
          <w:bCs/>
          <w:color w:val="auto"/>
          <w:kern w:val="0"/>
          <w:highlight w:val="none"/>
        </w:rPr>
        <w:t>提交首次响应文件</w:t>
      </w:r>
      <w:r>
        <w:rPr>
          <w:rFonts w:hint="eastAsia" w:hAnsi="宋体"/>
          <w:b/>
          <w:bCs/>
          <w:color w:val="auto"/>
          <w:highlight w:val="none"/>
        </w:rPr>
        <w:t>的</w:t>
      </w:r>
      <w:r>
        <w:rPr>
          <w:rFonts w:hint="eastAsia" w:hAnsi="宋体"/>
          <w:b/>
          <w:bCs/>
          <w:color w:val="auto"/>
          <w:kern w:val="0"/>
          <w:highlight w:val="none"/>
        </w:rPr>
        <w:t>截止</w:t>
      </w:r>
      <w:r>
        <w:rPr>
          <w:rFonts w:hint="eastAsia" w:hAnsi="宋体"/>
          <w:b/>
          <w:bCs/>
          <w:color w:val="auto"/>
          <w:highlight w:val="none"/>
        </w:rPr>
        <w:t>时间</w:t>
      </w:r>
    </w:p>
    <w:p w14:paraId="00EE9425">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12.1</w:t>
      </w:r>
      <w:r>
        <w:rPr>
          <w:rFonts w:hint="eastAsia" w:hAnsi="宋体"/>
          <w:color w:val="auto"/>
          <w:kern w:val="0"/>
          <w:highlight w:val="none"/>
        </w:rPr>
        <w:t>供应商提交首次响应文件截止</w:t>
      </w:r>
      <w:r>
        <w:rPr>
          <w:rFonts w:hint="eastAsia" w:hAnsi="宋体"/>
          <w:color w:val="auto"/>
          <w:highlight w:val="none"/>
        </w:rPr>
        <w:t>时间见</w:t>
      </w:r>
      <w:r>
        <w:rPr>
          <w:rFonts w:hint="eastAsia" w:hAnsi="宋体"/>
          <w:b/>
          <w:bCs/>
          <w:color w:val="auto"/>
          <w:highlight w:val="none"/>
        </w:rPr>
        <w:t>磋商须知前附表</w:t>
      </w:r>
      <w:r>
        <w:rPr>
          <w:rFonts w:hint="eastAsia" w:hAnsi="宋体"/>
          <w:color w:val="auto"/>
          <w:highlight w:val="none"/>
        </w:rPr>
        <w:t>。</w:t>
      </w:r>
    </w:p>
    <w:p w14:paraId="4CBE6794">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13.磋商文件的澄清</w:t>
      </w:r>
      <w:r>
        <w:rPr>
          <w:rFonts w:hint="eastAsia" w:ascii="宋体" w:hAnsi="宋体" w:cs="宋体"/>
          <w:b/>
          <w:bCs/>
          <w:color w:val="auto"/>
          <w:kern w:val="0"/>
          <w:highlight w:val="none"/>
          <w:lang w:val="zh-CN"/>
        </w:rPr>
        <w:t>或者</w:t>
      </w:r>
      <w:r>
        <w:rPr>
          <w:rFonts w:hint="eastAsia" w:ascii="宋体" w:hAnsi="宋体" w:cs="宋体"/>
          <w:b/>
          <w:bCs/>
          <w:color w:val="auto"/>
          <w:highlight w:val="none"/>
        </w:rPr>
        <w:t>修改</w:t>
      </w:r>
    </w:p>
    <w:p w14:paraId="04AE4DDE">
      <w:pPr>
        <w:adjustRightInd w:val="0"/>
        <w:snapToGrid w:val="0"/>
        <w:spacing w:line="360" w:lineRule="auto"/>
        <w:ind w:right="-105" w:rightChars="-50" w:firstLine="420" w:firstLineChars="200"/>
        <w:rPr>
          <w:rFonts w:ascii="宋体" w:hAnsi="宋体" w:cs="宋体"/>
          <w:color w:val="auto"/>
          <w:kern w:val="0"/>
          <w:highlight w:val="none"/>
        </w:rPr>
      </w:pPr>
      <w:r>
        <w:rPr>
          <w:rFonts w:hint="eastAsia" w:ascii="宋体" w:hAnsi="宋体" w:cs="宋体"/>
          <w:color w:val="auto"/>
          <w:highlight w:val="none"/>
        </w:rPr>
        <w:t>13.1在</w:t>
      </w:r>
      <w:r>
        <w:rPr>
          <w:rFonts w:hint="eastAsia" w:ascii="宋体" w:hAnsi="宋体" w:cs="宋体"/>
          <w:color w:val="auto"/>
          <w:kern w:val="0"/>
          <w:highlight w:val="none"/>
        </w:rPr>
        <w:t>提交首次响应文件截止之日前，采购人、采购代理机构可以对已发出的磋商文件进行必要的澄清或者修改。</w:t>
      </w:r>
    </w:p>
    <w:p w14:paraId="198B5DD0">
      <w:pPr>
        <w:adjustRightInd w:val="0"/>
        <w:snapToGrid w:val="0"/>
        <w:spacing w:line="360" w:lineRule="auto"/>
        <w:ind w:right="-105" w:rightChars="-50" w:firstLine="420" w:firstLineChars="200"/>
        <w:rPr>
          <w:rFonts w:ascii="宋体" w:hAnsi="宋体" w:cs="宋体"/>
          <w:color w:val="auto"/>
          <w:kern w:val="0"/>
          <w:highlight w:val="none"/>
        </w:rPr>
      </w:pPr>
      <w:r>
        <w:rPr>
          <w:rFonts w:hint="eastAsia" w:ascii="宋体" w:hAnsi="宋体" w:cs="宋体"/>
          <w:color w:val="auto"/>
          <w:highlight w:val="none"/>
        </w:rPr>
        <w:t>13.2</w:t>
      </w:r>
      <w:r>
        <w:rPr>
          <w:rFonts w:hint="eastAsia" w:ascii="宋体" w:hAnsi="宋体" w:cs="宋体"/>
          <w:color w:val="auto"/>
          <w:kern w:val="0"/>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595016E0">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13.2</w:t>
      </w:r>
      <w:r>
        <w:rPr>
          <w:rFonts w:hint="eastAsia" w:hAnsi="宋体"/>
          <w:color w:val="auto"/>
          <w:kern w:val="0"/>
          <w:highlight w:val="none"/>
        </w:rPr>
        <w:t>提交首次响应文件截止时间前对磋商文件澄清或者修改内容，为磋商文件的组成部分。</w:t>
      </w:r>
    </w:p>
    <w:p w14:paraId="48BF13C1">
      <w:pPr>
        <w:adjustRightInd w:val="0"/>
        <w:snapToGrid w:val="0"/>
        <w:spacing w:line="360" w:lineRule="auto"/>
        <w:ind w:left="902" w:hanging="902" w:hangingChars="376"/>
        <w:rPr>
          <w:rFonts w:ascii="宋体" w:hAnsi="宋体" w:cs="宋体"/>
          <w:color w:val="auto"/>
          <w:sz w:val="24"/>
          <w:szCs w:val="24"/>
          <w:highlight w:val="none"/>
        </w:rPr>
      </w:pPr>
      <w:r>
        <w:rPr>
          <w:rFonts w:hint="eastAsia" w:ascii="宋体" w:hAnsi="宋体" w:cs="宋体"/>
          <w:color w:val="auto"/>
          <w:sz w:val="24"/>
          <w:szCs w:val="24"/>
          <w:highlight w:val="none"/>
        </w:rPr>
        <w:t>三、响应文件</w:t>
      </w:r>
    </w:p>
    <w:p w14:paraId="3BEC2E23">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14.一般要求</w:t>
      </w:r>
    </w:p>
    <w:p w14:paraId="5D295F6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14.1 供应商应仔细阅读磋商文件的所有内容，按磋商文件的要求编制响应文件，并保证所提供的全部资料的真实性，以使其响应文件对磋商文件做出实质性的响应。</w:t>
      </w:r>
    </w:p>
    <w:p w14:paraId="47D68982">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14.2 供应商提交的响应文件及供应商与采购人或采购代理机构、磋商小组就有关磋商的所有来往函电均使用中文。供应商可以提交其它语言的资料，但应附中文注释，在有差异时以中文为准。</w:t>
      </w:r>
    </w:p>
    <w:p w14:paraId="75004C8F">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14.3 计量单位应使用我国法定计量单位，未列明时应默认为我国法定计量单位。</w:t>
      </w:r>
    </w:p>
    <w:p w14:paraId="66790B0B">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14.4 响应文件应采用书面形式，电报、传真、电子邮件形式的响应文件概不接受。</w:t>
      </w:r>
    </w:p>
    <w:p w14:paraId="7E62C73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14.5 供应商应按磋商文件中提供的响应文件格式填写。</w:t>
      </w:r>
    </w:p>
    <w:p w14:paraId="129A33C4">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15.响应文件的组成</w:t>
      </w:r>
    </w:p>
    <w:p w14:paraId="7EA201B5">
      <w:pPr>
        <w:adjustRightInd w:val="0"/>
        <w:snapToGrid w:val="0"/>
        <w:spacing w:line="360" w:lineRule="auto"/>
        <w:ind w:firstLine="420" w:firstLineChars="200"/>
        <w:jc w:val="left"/>
        <w:outlineLvl w:val="0"/>
        <w:rPr>
          <w:rFonts w:ascii="宋体" w:hAnsi="宋体" w:cs="宋体"/>
          <w:color w:val="auto"/>
          <w:highlight w:val="none"/>
        </w:rPr>
      </w:pPr>
      <w:r>
        <w:rPr>
          <w:rFonts w:hint="eastAsia" w:ascii="宋体" w:hAnsi="宋体" w:cs="宋体"/>
          <w:color w:val="auto"/>
          <w:highlight w:val="none"/>
        </w:rPr>
        <w:t>15.1响应文件包括下列内容：</w:t>
      </w:r>
    </w:p>
    <w:p w14:paraId="363EF33A">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（1）磋商响应声明</w:t>
      </w:r>
    </w:p>
    <w:p w14:paraId="5E3ECC2C">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（2）保证金</w:t>
      </w:r>
    </w:p>
    <w:p w14:paraId="09C1FDBB">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（3）联合体协议</w:t>
      </w:r>
    </w:p>
    <w:p w14:paraId="2CE8A017">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（4）供应商的资格证明文件</w:t>
      </w:r>
    </w:p>
    <w:p w14:paraId="76586962">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（5）货物或服务方案说明</w:t>
      </w:r>
    </w:p>
    <w:p w14:paraId="5AF0AFFE">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（6）技术/商务响应与偏离表</w:t>
      </w:r>
    </w:p>
    <w:p w14:paraId="4E2721A4">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（7）提供享受政府采购政策的证明材料和清单表</w:t>
      </w:r>
    </w:p>
    <w:p w14:paraId="2CD49340">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（8）经销或代理或为货物提供售后服务的证明材料</w:t>
      </w:r>
    </w:p>
    <w:p w14:paraId="110AF730">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（9）报价一览表及报价文件</w:t>
      </w:r>
    </w:p>
    <w:p w14:paraId="6A6697B5">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（10）供应商认为需提供的其他资料</w:t>
      </w:r>
    </w:p>
    <w:p w14:paraId="2AF75C9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15.2在磋商过程中，供应商根据</w:t>
      </w:r>
      <w:r>
        <w:rPr>
          <w:rFonts w:hint="eastAsia" w:ascii="宋体" w:hAnsi="宋体" w:cs="宋体"/>
          <w:color w:val="auto"/>
          <w:kern w:val="0"/>
          <w:highlight w:val="none"/>
        </w:rPr>
        <w:t>磋商小组</w:t>
      </w:r>
      <w:r>
        <w:rPr>
          <w:rFonts w:hint="eastAsia" w:ascii="宋体" w:hAnsi="宋体" w:cs="宋体"/>
          <w:color w:val="auto"/>
          <w:highlight w:val="none"/>
        </w:rPr>
        <w:t>书面形式要求</w:t>
      </w:r>
      <w:r>
        <w:rPr>
          <w:rFonts w:hint="eastAsia" w:ascii="宋体" w:hAnsi="宋体" w:cs="宋体"/>
          <w:color w:val="auto"/>
          <w:kern w:val="0"/>
          <w:highlight w:val="none"/>
        </w:rPr>
        <w:t>提交的</w:t>
      </w:r>
      <w:r>
        <w:rPr>
          <w:rFonts w:hint="eastAsia" w:ascii="宋体" w:hAnsi="宋体" w:cs="宋体"/>
          <w:color w:val="auto"/>
          <w:highlight w:val="none"/>
        </w:rPr>
        <w:t>最后报价(或者重</w:t>
      </w:r>
      <w:r>
        <w:rPr>
          <w:rFonts w:hint="eastAsia" w:ascii="宋体" w:hAnsi="宋体" w:cs="宋体"/>
          <w:color w:val="auto"/>
          <w:kern w:val="0"/>
          <w:highlight w:val="none"/>
        </w:rPr>
        <w:t>新提交的响应文件和</w:t>
      </w:r>
      <w:r>
        <w:rPr>
          <w:rFonts w:hint="eastAsia" w:ascii="宋体" w:hAnsi="宋体" w:cs="宋体"/>
          <w:color w:val="auto"/>
          <w:highlight w:val="none"/>
        </w:rPr>
        <w:t>最后报价)是响应文件的有效组成部分。</w:t>
      </w:r>
    </w:p>
    <w:p w14:paraId="5AF03A97">
      <w:pPr>
        <w:adjustRightInd w:val="0"/>
        <w:snapToGrid w:val="0"/>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15.3</w:t>
      </w:r>
      <w:r>
        <w:rPr>
          <w:rFonts w:hint="eastAsia" w:ascii="宋体" w:hAnsi="宋体" w:cs="宋体"/>
          <w:color w:val="auto"/>
          <w:kern w:val="0"/>
          <w:highlight w:val="none"/>
        </w:rPr>
        <w:t>磋商文件规定可能发生实质性变动的，供应商应当在</w:t>
      </w:r>
      <w:r>
        <w:rPr>
          <w:rFonts w:hint="eastAsia" w:ascii="宋体" w:hAnsi="宋体" w:cs="宋体"/>
          <w:color w:val="auto"/>
          <w:highlight w:val="none"/>
        </w:rPr>
        <w:t>《技术/商务响应与偏离表》中对应内容注明。</w:t>
      </w:r>
    </w:p>
    <w:p w14:paraId="0379A3E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15.4根据《政府采购法》第四十二条的规定，供应商无论成交与否，其响应文件不予退还。</w:t>
      </w:r>
    </w:p>
    <w:p w14:paraId="3532E6CF">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16.报价</w:t>
      </w:r>
    </w:p>
    <w:p w14:paraId="5B77FB1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16.1供应商应当根据磋商文件要求和范围，以人民币报价，以元为单位，保留小数点后两位。</w:t>
      </w:r>
    </w:p>
    <w:p w14:paraId="0BCDC3DD">
      <w:pPr>
        <w:pStyle w:val="52"/>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16.2供应商应按第五章响应文件组成格式填写。</w:t>
      </w:r>
    </w:p>
    <w:p w14:paraId="60E7FA73">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16.3响应文件中标明的价格在合同执行过程中是固定不变的，不得以任何理由予以变更。以可变动价格提交的报价将被认为是非实质响应而被拒绝。</w:t>
      </w:r>
    </w:p>
    <w:p w14:paraId="27AAE203">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16.4</w:t>
      </w:r>
      <w:r>
        <w:rPr>
          <w:rFonts w:hint="eastAsia" w:hAnsi="宋体"/>
          <w:color w:val="auto"/>
          <w:kern w:val="0"/>
          <w:highlight w:val="none"/>
          <w:lang w:val="zh-CN"/>
        </w:rPr>
        <w:t>供应商</w:t>
      </w:r>
      <w:r>
        <w:rPr>
          <w:rFonts w:hint="eastAsia" w:hAnsi="宋体"/>
          <w:color w:val="auto"/>
          <w:highlight w:val="none"/>
        </w:rPr>
        <w:t>的报价不得超过采购项目预算，采购项目预算或其计算方法见</w:t>
      </w:r>
      <w:r>
        <w:rPr>
          <w:rFonts w:hint="eastAsia" w:hAnsi="宋体"/>
          <w:b/>
          <w:bCs/>
          <w:color w:val="auto"/>
          <w:highlight w:val="none"/>
        </w:rPr>
        <w:t>磋商须知前附表</w:t>
      </w:r>
      <w:r>
        <w:rPr>
          <w:rFonts w:hint="eastAsia" w:hAnsi="宋体"/>
          <w:color w:val="auto"/>
          <w:highlight w:val="none"/>
        </w:rPr>
        <w:t>。</w:t>
      </w:r>
    </w:p>
    <w:p w14:paraId="7791323D">
      <w:pPr>
        <w:pStyle w:val="11"/>
        <w:adjustRightInd w:val="0"/>
        <w:snapToGrid w:val="0"/>
        <w:spacing w:line="360" w:lineRule="auto"/>
        <w:rPr>
          <w:rFonts w:hAnsi="宋体"/>
          <w:b/>
          <w:bCs/>
          <w:color w:val="auto"/>
          <w:highlight w:val="none"/>
        </w:rPr>
      </w:pPr>
      <w:r>
        <w:rPr>
          <w:rFonts w:hint="eastAsia" w:hAnsi="宋体"/>
          <w:b/>
          <w:bCs/>
          <w:color w:val="auto"/>
          <w:highlight w:val="none"/>
        </w:rPr>
        <w:t>17.供应商符合磋商文件规定的证明文件</w:t>
      </w:r>
    </w:p>
    <w:p w14:paraId="58D0D923">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17.1供应商应提交满足本章第3.1款规定的资格条件要求的证明文件,该证明文件作为响应文件的一部分。</w:t>
      </w:r>
    </w:p>
    <w:p w14:paraId="030DD975">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17.2如果供应商为联合体，则应提交联合体各方资格证明文件、联合体协议。否则，在评审时将其视为无效响应。</w:t>
      </w:r>
    </w:p>
    <w:p w14:paraId="02E57237">
      <w:pPr>
        <w:adjustRightInd w:val="0"/>
        <w:snapToGrid w:val="0"/>
        <w:spacing w:beforeLines="50"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17.3 除</w:t>
      </w:r>
      <w:r>
        <w:rPr>
          <w:rFonts w:hint="eastAsia" w:ascii="宋体" w:hAnsi="宋体" w:cs="宋体"/>
          <w:b/>
          <w:bCs/>
          <w:color w:val="auto"/>
          <w:highlight w:val="none"/>
        </w:rPr>
        <w:t>磋商须知前附表</w:t>
      </w:r>
      <w:r>
        <w:rPr>
          <w:rFonts w:hint="eastAsia" w:ascii="宋体" w:hAnsi="宋体" w:cs="宋体"/>
          <w:color w:val="auto"/>
          <w:highlight w:val="none"/>
        </w:rPr>
        <w:t>另有规定外，供应商提供的货物及服务不是供应商制造或拥有的，则必须提供经销、或代理采购货物、或采购货物提供售后服务的证明文件。</w:t>
      </w:r>
    </w:p>
    <w:p w14:paraId="5DFFF870">
      <w:pPr>
        <w:adjustRightInd w:val="0"/>
        <w:snapToGrid w:val="0"/>
        <w:spacing w:beforeLines="50" w:line="360" w:lineRule="auto"/>
        <w:jc w:val="left"/>
        <w:rPr>
          <w:rFonts w:ascii="宋体" w:hAnsi="宋体" w:cs="宋体"/>
          <w:b/>
          <w:bCs/>
          <w:color w:val="auto"/>
          <w:highlight w:val="none"/>
        </w:rPr>
      </w:pPr>
      <w:r>
        <w:rPr>
          <w:rFonts w:hint="eastAsia" w:ascii="宋体" w:hAnsi="宋体" w:cs="宋体"/>
          <w:b/>
          <w:bCs/>
          <w:color w:val="auto"/>
          <w:highlight w:val="none"/>
        </w:rPr>
        <w:t>18．样品提供</w:t>
      </w:r>
    </w:p>
    <w:p w14:paraId="6C574B0C">
      <w:pPr>
        <w:adjustRightInd w:val="0"/>
        <w:snapToGrid w:val="0"/>
        <w:spacing w:beforeLines="50"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18.1 </w:t>
      </w:r>
      <w:r>
        <w:rPr>
          <w:rFonts w:hint="eastAsia" w:ascii="宋体" w:hAnsi="宋体" w:cs="宋体"/>
          <w:b/>
          <w:bCs/>
          <w:color w:val="auto"/>
          <w:highlight w:val="none"/>
        </w:rPr>
        <w:t>磋商须知前附表</w:t>
      </w:r>
      <w:r>
        <w:rPr>
          <w:rFonts w:hint="eastAsia" w:ascii="宋体" w:hAnsi="宋体" w:cs="宋体"/>
          <w:color w:val="auto"/>
          <w:highlight w:val="none"/>
        </w:rPr>
        <w:t>规定供应商在磋商时提供样品的，供应商有以下情形之一的，在评审时将其视为无效响应。</w:t>
      </w:r>
    </w:p>
    <w:p w14:paraId="7FF8C6E6">
      <w:pPr>
        <w:adjustRightInd w:val="0"/>
        <w:snapToGrid w:val="0"/>
        <w:spacing w:beforeLines="50"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（1）未在</w:t>
      </w:r>
      <w:r>
        <w:rPr>
          <w:rFonts w:hint="eastAsia" w:ascii="宋体" w:hAnsi="宋体" w:cs="宋体"/>
          <w:b/>
          <w:bCs/>
          <w:color w:val="auto"/>
          <w:highlight w:val="none"/>
        </w:rPr>
        <w:t>磋商须知前附表</w:t>
      </w:r>
      <w:r>
        <w:rPr>
          <w:rFonts w:hint="eastAsia" w:ascii="宋体" w:hAnsi="宋体" w:cs="宋体"/>
          <w:color w:val="auto"/>
          <w:highlight w:val="none"/>
        </w:rPr>
        <w:t>规定的提交时间、地点提交的；</w:t>
      </w:r>
    </w:p>
    <w:p w14:paraId="7BF0DE2D">
      <w:pPr>
        <w:adjustRightInd w:val="0"/>
        <w:snapToGrid w:val="0"/>
        <w:spacing w:beforeLines="50"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（2）供应商提供的样品与响应文件中提供样品的型号、规格不一致的。</w:t>
      </w:r>
    </w:p>
    <w:p w14:paraId="59A33AA7">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19.磋商保证金</w:t>
      </w:r>
    </w:p>
    <w:p w14:paraId="14C9F086">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19.1</w:t>
      </w:r>
      <w:r>
        <w:rPr>
          <w:rFonts w:hint="eastAsia" w:hAnsi="宋体"/>
          <w:b/>
          <w:bCs/>
          <w:color w:val="auto"/>
          <w:highlight w:val="none"/>
        </w:rPr>
        <w:t>磋商须知前附表</w:t>
      </w:r>
      <w:r>
        <w:rPr>
          <w:rFonts w:hint="eastAsia" w:hAnsi="宋体"/>
          <w:color w:val="auto"/>
          <w:highlight w:val="none"/>
        </w:rPr>
        <w:t>规定交纳磋商保证金的，应按</w:t>
      </w:r>
      <w:r>
        <w:rPr>
          <w:rFonts w:hint="eastAsia" w:hAnsi="宋体"/>
          <w:b/>
          <w:bCs/>
          <w:color w:val="auto"/>
          <w:highlight w:val="none"/>
        </w:rPr>
        <w:t>磋商须知前附表</w:t>
      </w:r>
      <w:r>
        <w:rPr>
          <w:rFonts w:hint="eastAsia" w:hAnsi="宋体"/>
          <w:color w:val="auto"/>
          <w:highlight w:val="none"/>
        </w:rPr>
        <w:t>规定的磋商保证金形式交纳，不得以现金方式交纳，在</w:t>
      </w:r>
      <w:r>
        <w:rPr>
          <w:rFonts w:hint="eastAsia" w:hAnsi="宋体"/>
          <w:color w:val="auto"/>
          <w:kern w:val="0"/>
          <w:highlight w:val="none"/>
        </w:rPr>
        <w:t>提交首次响应文件截止时间</w:t>
      </w:r>
      <w:r>
        <w:rPr>
          <w:rFonts w:hint="eastAsia" w:hAnsi="宋体"/>
          <w:color w:val="auto"/>
          <w:highlight w:val="none"/>
        </w:rPr>
        <w:t>前，向采购代理机构交纳不超过</w:t>
      </w:r>
      <w:r>
        <w:rPr>
          <w:rFonts w:hint="eastAsia" w:hAnsi="宋体"/>
          <w:color w:val="auto"/>
          <w:kern w:val="0"/>
          <w:highlight w:val="none"/>
          <w:lang w:val="zh-CN"/>
        </w:rPr>
        <w:t>采购项目预算2﹪</w:t>
      </w:r>
      <w:r>
        <w:rPr>
          <w:rFonts w:hint="eastAsia" w:hAnsi="宋体"/>
          <w:color w:val="auto"/>
          <w:highlight w:val="none"/>
        </w:rPr>
        <w:t>的磋商保证金(数额采用四舍五入，计算至元)。磋商保证金有效期应当与本章第20.1</w:t>
      </w:r>
      <w:r>
        <w:rPr>
          <w:rFonts w:hint="eastAsia" w:hAnsi="宋体"/>
          <w:color w:val="auto"/>
          <w:kern w:val="0"/>
          <w:highlight w:val="none"/>
          <w:lang w:val="zh-CN"/>
        </w:rPr>
        <w:t>款</w:t>
      </w:r>
      <w:r>
        <w:rPr>
          <w:rFonts w:hint="eastAsia" w:hAnsi="宋体"/>
          <w:color w:val="auto"/>
          <w:highlight w:val="none"/>
        </w:rPr>
        <w:t>规定的响应文件有效期一致。</w:t>
      </w:r>
    </w:p>
    <w:p w14:paraId="6B1E748C">
      <w:pPr>
        <w:adjustRightInd w:val="0"/>
        <w:snapToGrid w:val="0"/>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19.2</w:t>
      </w:r>
      <w:r>
        <w:rPr>
          <w:rFonts w:hint="eastAsia" w:ascii="宋体" w:hAnsi="宋体" w:cs="宋体"/>
          <w:color w:val="auto"/>
          <w:kern w:val="0"/>
          <w:highlight w:val="none"/>
          <w:lang w:val="zh-CN"/>
        </w:rPr>
        <w:t>供应商为联合体的，可以由联合体中的一方或者共同交纳磋商保证金，其交纳的磋商保证金，对联合体各方均具有约束力。</w:t>
      </w:r>
    </w:p>
    <w:p w14:paraId="2D92679B">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19.3供应商未按照磋商文件要求提交磋商保证金的，响应无效。</w:t>
      </w:r>
    </w:p>
    <w:p w14:paraId="1689661D">
      <w:pPr>
        <w:pStyle w:val="11"/>
        <w:tabs>
          <w:tab w:val="left" w:pos="6300"/>
        </w:tabs>
        <w:adjustRightInd w:val="0"/>
        <w:snapToGrid w:val="0"/>
        <w:spacing w:line="360" w:lineRule="auto"/>
        <w:ind w:firstLine="420" w:firstLineChars="200"/>
        <w:rPr>
          <w:rFonts w:hAnsi="宋体"/>
          <w:color w:val="auto"/>
          <w:highlight w:val="none"/>
        </w:rPr>
      </w:pPr>
      <w:r>
        <w:rPr>
          <w:rFonts w:hint="eastAsia" w:hAnsi="宋体"/>
          <w:color w:val="auto"/>
          <w:highlight w:val="none"/>
        </w:rPr>
        <w:t>19.4采购代理机构在成交通知书发出后5个工作日内退还未成交供应商的磋商保证金；在采购合同</w:t>
      </w:r>
      <w:r>
        <w:rPr>
          <w:rFonts w:hint="eastAsia" w:hAnsi="宋体"/>
          <w:color w:val="auto"/>
          <w:highlight w:val="none"/>
          <w:lang w:val="en-US" w:eastAsia="zh-CN"/>
        </w:rPr>
        <w:t>签订</w:t>
      </w:r>
      <w:r>
        <w:rPr>
          <w:rFonts w:hint="eastAsia" w:hAnsi="宋体"/>
          <w:color w:val="auto"/>
          <w:highlight w:val="none"/>
        </w:rPr>
        <w:t>后5个工作日内退还成交供应商的磋商保证金，但因供应商自身原因导致无法及时退还的除外。</w:t>
      </w:r>
    </w:p>
    <w:p w14:paraId="2DE6DE96">
      <w:pPr>
        <w:pStyle w:val="11"/>
        <w:adjustRightInd w:val="0"/>
        <w:snapToGrid w:val="0"/>
        <w:spacing w:line="360" w:lineRule="auto"/>
        <w:ind w:firstLine="420" w:firstLineChars="200"/>
        <w:rPr>
          <w:rFonts w:hAnsi="宋体"/>
          <w:color w:val="auto"/>
          <w:kern w:val="0"/>
          <w:highlight w:val="none"/>
        </w:rPr>
      </w:pPr>
      <w:r>
        <w:rPr>
          <w:rFonts w:hint="eastAsia" w:hAnsi="宋体"/>
          <w:color w:val="auto"/>
          <w:highlight w:val="none"/>
        </w:rPr>
        <w:t xml:space="preserve">19.5 </w:t>
      </w:r>
      <w:r>
        <w:rPr>
          <w:rFonts w:hint="eastAsia" w:hAnsi="宋体"/>
          <w:color w:val="auto"/>
          <w:kern w:val="0"/>
          <w:highlight w:val="none"/>
        </w:rPr>
        <w:t>有下列情形之一的，磋商保证金不予退还，并上缴本级财政国库：</w:t>
      </w:r>
    </w:p>
    <w:p w14:paraId="249A190C">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（1）供应商在提交首次响应文件截止时间后撤回响应文件的；</w:t>
      </w:r>
    </w:p>
    <w:p w14:paraId="4C7F0B3E">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（2）供应商在响应文件中提供虚假资料的；</w:t>
      </w:r>
    </w:p>
    <w:p w14:paraId="290C479D">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highlight w:val="none"/>
        </w:rPr>
        <w:t>确定成交结果后，无正当理由放弃成交资格的；</w:t>
      </w:r>
    </w:p>
    <w:p w14:paraId="7A998768">
      <w:pPr>
        <w:widowControl/>
        <w:adjustRightInd w:val="0"/>
        <w:snapToGrid w:val="0"/>
        <w:spacing w:line="360" w:lineRule="auto"/>
        <w:ind w:firstLine="525" w:firstLineChars="250"/>
        <w:jc w:val="left"/>
        <w:rPr>
          <w:rFonts w:ascii="宋体" w:hAnsi="宋体" w:cs="宋体"/>
          <w:color w:val="auto"/>
          <w:kern w:val="0"/>
          <w:highlight w:val="none"/>
        </w:rPr>
      </w:pPr>
      <w:r>
        <w:rPr>
          <w:rFonts w:hint="eastAsia" w:ascii="宋体" w:hAnsi="宋体" w:cs="宋体"/>
          <w:color w:val="auto"/>
          <w:kern w:val="0"/>
          <w:highlight w:val="none"/>
        </w:rPr>
        <w:t>(4) 除因不可抗力或磋商文件认可的情形以外，成交供应商不与采购人签订合同的；</w:t>
      </w:r>
    </w:p>
    <w:p w14:paraId="42C0CD0E">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（5）供应商与采购人、其他供应商或者采购代理机构恶意串通的；</w:t>
      </w:r>
    </w:p>
    <w:p w14:paraId="78FFFE42">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（6）磋商文件规定的其他情形。</w:t>
      </w:r>
    </w:p>
    <w:p w14:paraId="48CD78B3">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20.响应文件有效期</w:t>
      </w:r>
    </w:p>
    <w:p w14:paraId="0E6B294D">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20.1响应文件有效期见</w:t>
      </w:r>
      <w:r>
        <w:rPr>
          <w:rFonts w:hint="eastAsia" w:ascii="宋体" w:hAnsi="宋体" w:cs="宋体"/>
          <w:b/>
          <w:bCs/>
          <w:color w:val="auto"/>
          <w:highlight w:val="none"/>
        </w:rPr>
        <w:t>磋商须知前附表</w:t>
      </w:r>
      <w:r>
        <w:rPr>
          <w:rFonts w:hint="eastAsia" w:ascii="宋体" w:hAnsi="宋体" w:cs="宋体"/>
          <w:color w:val="auto"/>
          <w:highlight w:val="none"/>
        </w:rPr>
        <w:t>，在此期间响应文件对供应商具有法律约束力，从</w:t>
      </w:r>
      <w:r>
        <w:rPr>
          <w:rFonts w:hint="eastAsia" w:ascii="宋体" w:hAnsi="宋体" w:cs="宋体"/>
          <w:color w:val="auto"/>
          <w:kern w:val="0"/>
          <w:highlight w:val="none"/>
        </w:rPr>
        <w:t>提交首次响应文件截止时间</w:t>
      </w:r>
      <w:r>
        <w:rPr>
          <w:rFonts w:hint="eastAsia" w:ascii="宋体" w:hAnsi="宋体" w:cs="宋体"/>
          <w:color w:val="auto"/>
          <w:highlight w:val="none"/>
        </w:rPr>
        <w:t>之日起计算。响应文件有效期不足的将被视为无效响应。</w:t>
      </w:r>
    </w:p>
    <w:p w14:paraId="7841B865">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21.响应文件的签署及规定</w:t>
      </w:r>
    </w:p>
    <w:p w14:paraId="0A17694D">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21.1响应文件的正本和副本应装订成册，正本一份，副本份数见</w:t>
      </w:r>
      <w:r>
        <w:rPr>
          <w:rFonts w:hint="eastAsia" w:hAnsi="宋体"/>
          <w:b/>
          <w:bCs/>
          <w:color w:val="auto"/>
          <w:highlight w:val="none"/>
        </w:rPr>
        <w:t>磋商须知前附表</w:t>
      </w:r>
      <w:r>
        <w:rPr>
          <w:rFonts w:hint="eastAsia" w:hAnsi="宋体"/>
          <w:color w:val="auto"/>
          <w:highlight w:val="none"/>
        </w:rPr>
        <w:t>。正本和副本的封面上应标记“正本”或“副本”的字样，当正本和副本有差异时，以正本为准。</w:t>
      </w:r>
    </w:p>
    <w:p w14:paraId="421A63AE">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62E737FA">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21.3 在磋商过程中，供应商按磋商文件规定和磋商小组要求</w:t>
      </w:r>
      <w:r>
        <w:rPr>
          <w:rFonts w:hint="eastAsia" w:hAnsi="宋体"/>
          <w:color w:val="auto"/>
          <w:kern w:val="0"/>
          <w:highlight w:val="none"/>
        </w:rPr>
        <w:t>提交的</w:t>
      </w:r>
      <w:r>
        <w:rPr>
          <w:rFonts w:hint="eastAsia" w:hAnsi="宋体"/>
          <w:color w:val="auto"/>
          <w:highlight w:val="none"/>
        </w:rPr>
        <w:t>最后报价(或者重</w:t>
      </w:r>
      <w:r>
        <w:rPr>
          <w:rFonts w:hint="eastAsia" w:hAnsi="宋体"/>
          <w:color w:val="auto"/>
          <w:kern w:val="0"/>
          <w:highlight w:val="none"/>
        </w:rPr>
        <w:t>新提交的响应文件和</w:t>
      </w:r>
      <w:r>
        <w:rPr>
          <w:rFonts w:hint="eastAsia" w:hAnsi="宋体"/>
          <w:color w:val="auto"/>
          <w:highlight w:val="none"/>
        </w:rPr>
        <w:t>最后报价)，一式两份，可打印或用不退色墨水书写，但需经法定代表人或其委托代理人签字，</w:t>
      </w:r>
      <w:r>
        <w:rPr>
          <w:rFonts w:hint="eastAsia" w:hAnsi="宋体"/>
          <w:color w:val="auto"/>
          <w:kern w:val="0"/>
          <w:highlight w:val="none"/>
        </w:rPr>
        <w:t>或者加盖供应商单位章</w:t>
      </w:r>
      <w:r>
        <w:rPr>
          <w:rFonts w:hint="eastAsia" w:hAnsi="宋体"/>
          <w:color w:val="auto"/>
          <w:highlight w:val="none"/>
        </w:rPr>
        <w:t>。否则，将导致响应文件无效。</w:t>
      </w:r>
    </w:p>
    <w:p w14:paraId="53C50C99">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四、响应文件的递交</w:t>
      </w:r>
    </w:p>
    <w:p w14:paraId="2E4637E5">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22.响应文件的密封和标记</w:t>
      </w:r>
    </w:p>
    <w:p w14:paraId="5025A44B">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22.1响应文件应密封包装，加贴封条，并在封套的封口处盖供应商单位章或者由法定代表人或其委托代理人签字。</w:t>
      </w:r>
    </w:p>
    <w:p w14:paraId="7A50813A">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22.2响应文件封套上应写明的内容见</w:t>
      </w:r>
      <w:r>
        <w:rPr>
          <w:rFonts w:hint="eastAsia" w:ascii="宋体" w:hAnsi="宋体" w:cs="宋体"/>
          <w:b/>
          <w:bCs/>
          <w:color w:val="auto"/>
          <w:highlight w:val="none"/>
        </w:rPr>
        <w:t>磋商须知前附表。</w:t>
      </w:r>
    </w:p>
    <w:p w14:paraId="2170DFAA">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22.3响应文件如果未按上述规定密封和加写标记，采购人或采购代理机构将拒绝接收。</w:t>
      </w:r>
    </w:p>
    <w:p w14:paraId="3EB3235A">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23.响应文件的</w:t>
      </w:r>
      <w:r>
        <w:rPr>
          <w:rFonts w:hint="eastAsia" w:ascii="宋体" w:hAnsi="宋体" w:cs="宋体"/>
          <w:b/>
          <w:bCs/>
          <w:color w:val="auto"/>
          <w:kern w:val="0"/>
          <w:highlight w:val="none"/>
          <w:lang w:val="zh-CN"/>
        </w:rPr>
        <w:t>补充、修改或者撤回</w:t>
      </w:r>
    </w:p>
    <w:p w14:paraId="0700CBDE">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23.1</w:t>
      </w:r>
      <w:r>
        <w:rPr>
          <w:rFonts w:hint="eastAsia" w:hAnsi="宋体"/>
          <w:color w:val="auto"/>
          <w:kern w:val="0"/>
          <w:highlight w:val="none"/>
        </w:rPr>
        <w:t>供应商在提交首次响应文件截止时间前，可以对所提交的首次响应文件进行补充、修改或者撤回，并书面通知采购人、采购代理机构。</w:t>
      </w:r>
      <w:r>
        <w:rPr>
          <w:rFonts w:hint="eastAsia" w:hAnsi="宋体"/>
          <w:color w:val="auto"/>
          <w:highlight w:val="none"/>
        </w:rPr>
        <w:t>该通知应有供应商法定代表人或其委托代理人签字。</w:t>
      </w:r>
    </w:p>
    <w:p w14:paraId="54229C09">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23.2</w:t>
      </w:r>
      <w:r>
        <w:rPr>
          <w:rFonts w:hint="eastAsia" w:hAnsi="宋体"/>
          <w:color w:val="auto"/>
          <w:kern w:val="0"/>
          <w:highlight w:val="none"/>
          <w:lang w:val="zh-CN"/>
        </w:rPr>
        <w:t>补充、修改的内容与响应文件不一致时，以补充、修改的内容为准。</w:t>
      </w:r>
    </w:p>
    <w:p w14:paraId="60CD430D">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24.响应文件的递交与接收</w:t>
      </w:r>
    </w:p>
    <w:p w14:paraId="1270D7B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24.1 供应商应在</w:t>
      </w:r>
      <w:r>
        <w:rPr>
          <w:rFonts w:hint="eastAsia" w:ascii="宋体" w:hAnsi="宋体" w:cs="宋体"/>
          <w:color w:val="auto"/>
          <w:kern w:val="0"/>
          <w:highlight w:val="none"/>
        </w:rPr>
        <w:t>提交首次响应文件截止时间</w:t>
      </w:r>
      <w:r>
        <w:rPr>
          <w:rFonts w:hint="eastAsia" w:ascii="宋体" w:hAnsi="宋体" w:cs="宋体"/>
          <w:color w:val="auto"/>
          <w:highlight w:val="none"/>
        </w:rPr>
        <w:t>前，将响应文件送达</w:t>
      </w:r>
      <w:r>
        <w:rPr>
          <w:rFonts w:hint="eastAsia" w:ascii="宋体" w:hAnsi="宋体" w:cs="宋体"/>
          <w:b/>
          <w:bCs/>
          <w:color w:val="auto"/>
          <w:highlight w:val="none"/>
        </w:rPr>
        <w:t>磋商须知前附表</w:t>
      </w:r>
      <w:r>
        <w:rPr>
          <w:rFonts w:hint="eastAsia" w:ascii="宋体" w:hAnsi="宋体" w:cs="宋体"/>
          <w:color w:val="auto"/>
          <w:highlight w:val="none"/>
        </w:rPr>
        <w:t>中指定的地点。</w:t>
      </w:r>
      <w:r>
        <w:rPr>
          <w:rFonts w:hint="eastAsia" w:ascii="宋体" w:hAnsi="宋体" w:cs="宋体"/>
          <w:color w:val="auto"/>
          <w:kern w:val="0"/>
          <w:highlight w:val="none"/>
        </w:rPr>
        <w:t>在截止时间后送达的响应文件，采购人、采购代理机构或者磋商小组应当拒收。</w:t>
      </w:r>
    </w:p>
    <w:p w14:paraId="33290888">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24.2</w:t>
      </w:r>
      <w:r>
        <w:rPr>
          <w:rFonts w:hint="eastAsia" w:hAnsi="宋体"/>
          <w:color w:val="auto"/>
          <w:kern w:val="0"/>
          <w:highlight w:val="none"/>
        </w:rPr>
        <w:t>在提交首次响应文件截止时间后，</w:t>
      </w:r>
      <w:r>
        <w:rPr>
          <w:rFonts w:hint="eastAsia" w:hAnsi="宋体"/>
          <w:color w:val="auto"/>
          <w:highlight w:val="none"/>
        </w:rPr>
        <w:t>由供应商代表当场查验响应文件的密封状况，采购人或采购代理机构不当场拆封响应文件。</w:t>
      </w:r>
    </w:p>
    <w:p w14:paraId="6171E1FC">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五、响应文件的磋商与评审</w:t>
      </w:r>
    </w:p>
    <w:p w14:paraId="7CBE7BB9">
      <w:pPr>
        <w:tabs>
          <w:tab w:val="left" w:pos="0"/>
        </w:tabs>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25.磋商程序</w:t>
      </w:r>
    </w:p>
    <w:p w14:paraId="4826374F">
      <w:pPr>
        <w:widowControl/>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kern w:val="0"/>
          <w:highlight w:val="none"/>
        </w:rPr>
        <w:t>25.1磋商程序：响应文件审查、磋商（包括澄清）、响应文件评审、</w:t>
      </w:r>
      <w:r>
        <w:rPr>
          <w:rFonts w:hint="eastAsia" w:ascii="宋体" w:hAnsi="宋体" w:cs="宋体"/>
          <w:color w:val="auto"/>
          <w:highlight w:val="none"/>
        </w:rPr>
        <w:t>提出成交供应商。其中，</w:t>
      </w:r>
      <w:r>
        <w:rPr>
          <w:rFonts w:hint="eastAsia" w:ascii="宋体" w:hAnsi="宋体" w:cs="宋体"/>
          <w:color w:val="auto"/>
          <w:kern w:val="0"/>
          <w:highlight w:val="none"/>
        </w:rPr>
        <w:t>磋商按</w:t>
      </w:r>
      <w:r>
        <w:rPr>
          <w:rFonts w:hint="eastAsia" w:ascii="宋体" w:hAnsi="宋体" w:cs="宋体"/>
          <w:color w:val="auto"/>
          <w:highlight w:val="none"/>
        </w:rPr>
        <w:t>本章第30.1</w:t>
      </w:r>
      <w:r>
        <w:rPr>
          <w:rFonts w:hint="eastAsia" w:ascii="宋体" w:hAnsi="宋体" w:cs="宋体"/>
          <w:color w:val="auto"/>
          <w:kern w:val="0"/>
          <w:highlight w:val="none"/>
          <w:lang w:val="zh-CN"/>
        </w:rPr>
        <w:t>款或者</w:t>
      </w:r>
      <w:r>
        <w:rPr>
          <w:rFonts w:hint="eastAsia" w:ascii="宋体" w:hAnsi="宋体" w:cs="宋体"/>
          <w:color w:val="auto"/>
          <w:highlight w:val="none"/>
        </w:rPr>
        <w:t>第30.2</w:t>
      </w:r>
      <w:r>
        <w:rPr>
          <w:rFonts w:hint="eastAsia" w:ascii="宋体" w:hAnsi="宋体" w:cs="宋体"/>
          <w:color w:val="auto"/>
          <w:kern w:val="0"/>
          <w:highlight w:val="none"/>
          <w:lang w:val="zh-CN"/>
        </w:rPr>
        <w:t>款</w:t>
      </w:r>
      <w:r>
        <w:rPr>
          <w:rFonts w:hint="eastAsia" w:ascii="宋体" w:hAnsi="宋体" w:cs="宋体"/>
          <w:color w:val="auto"/>
          <w:highlight w:val="none"/>
        </w:rPr>
        <w:t>情形进行。</w:t>
      </w:r>
    </w:p>
    <w:p w14:paraId="714D1893">
      <w:pPr>
        <w:widowControl/>
        <w:adjustRightInd w:val="0"/>
        <w:snapToGrid w:val="0"/>
        <w:spacing w:line="360" w:lineRule="auto"/>
        <w:rPr>
          <w:rFonts w:ascii="宋体" w:hAnsi="宋体" w:cs="宋体"/>
          <w:b/>
          <w:bCs/>
          <w:color w:val="auto"/>
          <w:highlight w:val="none"/>
        </w:rPr>
      </w:pPr>
      <w:r>
        <w:rPr>
          <w:rFonts w:hint="eastAsia" w:ascii="宋体" w:hAnsi="宋体" w:cs="宋体"/>
          <w:b/>
          <w:bCs/>
          <w:color w:val="auto"/>
          <w:kern w:val="0"/>
          <w:highlight w:val="none"/>
        </w:rPr>
        <w:t>26.响应文件审查</w:t>
      </w:r>
    </w:p>
    <w:p w14:paraId="000123B3">
      <w:pPr>
        <w:adjustRightInd w:val="0"/>
        <w:snapToGrid w:val="0"/>
        <w:spacing w:beforeLines="50" w:line="360" w:lineRule="auto"/>
        <w:ind w:firstLine="420" w:firstLineChars="200"/>
        <w:rPr>
          <w:rFonts w:ascii="宋体" w:hAnsi="宋体" w:cs="宋体"/>
          <w:color w:val="auto"/>
          <w:highlight w:val="none"/>
        </w:rPr>
      </w:pPr>
      <w:r>
        <w:rPr>
          <w:rFonts w:hint="eastAsia" w:ascii="宋体" w:hAnsi="宋体" w:cs="宋体"/>
          <w:color w:val="auto"/>
          <w:highlight w:val="none"/>
        </w:rPr>
        <w:t>26.1 资格性审查：根据本章第3.1项规定的供应商资格条件要求，对响应文件的资格证明等进行审查，以确定供应商是否具备磋商资格条件。</w:t>
      </w:r>
    </w:p>
    <w:p w14:paraId="2700358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26.2符合性审查: 对响应文件(包括首次提交的响应文件、重新提交的响应文件)的有效性、完整性和响应程度进行审查，以确定是否对磋商文件的实质性要求作出响应。</w:t>
      </w:r>
    </w:p>
    <w:p w14:paraId="1148764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26.3响应文件审查结束后，磋商小组所有成员集中与单一供应商分别进行磋商，并给予所有参加磋商的供应商平等的磋商机会。供应商应派其法定代表人或委托代理人参加磋商。</w:t>
      </w:r>
    </w:p>
    <w:p w14:paraId="2C5C04EE">
      <w:pPr>
        <w:pStyle w:val="11"/>
        <w:adjustRightInd w:val="0"/>
        <w:snapToGrid w:val="0"/>
        <w:spacing w:line="360" w:lineRule="auto"/>
        <w:rPr>
          <w:rFonts w:hAnsi="宋体"/>
          <w:b/>
          <w:bCs/>
          <w:color w:val="auto"/>
          <w:kern w:val="0"/>
          <w:highlight w:val="none"/>
        </w:rPr>
      </w:pPr>
      <w:r>
        <w:rPr>
          <w:rFonts w:hint="eastAsia" w:hAnsi="宋体"/>
          <w:b/>
          <w:bCs/>
          <w:color w:val="auto"/>
          <w:kern w:val="0"/>
          <w:highlight w:val="none"/>
        </w:rPr>
        <w:t>27.实质性响应</w:t>
      </w:r>
    </w:p>
    <w:p w14:paraId="0E70784E">
      <w:pPr>
        <w:pStyle w:val="11"/>
        <w:adjustRightInd w:val="0"/>
        <w:snapToGrid w:val="0"/>
        <w:spacing w:line="360" w:lineRule="auto"/>
        <w:ind w:firstLine="420" w:firstLineChars="200"/>
        <w:rPr>
          <w:rFonts w:hAnsi="宋体"/>
          <w:color w:val="auto"/>
          <w:kern w:val="0"/>
          <w:highlight w:val="none"/>
          <w:u w:val="single"/>
        </w:rPr>
      </w:pPr>
      <w:r>
        <w:rPr>
          <w:rFonts w:hint="eastAsia" w:hAnsi="宋体"/>
          <w:color w:val="auto"/>
          <w:kern w:val="0"/>
          <w:highlight w:val="none"/>
        </w:rPr>
        <w:t>27.1</w:t>
      </w:r>
      <w:r>
        <w:rPr>
          <w:rFonts w:hint="eastAsia" w:hAnsi="宋体"/>
          <w:color w:val="auto"/>
          <w:highlight w:val="none"/>
        </w:rPr>
        <w:t>实质性响应是指响应文件(包括首次响应文件、重新提交的响应文件)与磋商文件要求的所有条款、条件和规格相符，没有偏离。偏离指不满足、或不响应磋商文件的要求。</w:t>
      </w:r>
    </w:p>
    <w:p w14:paraId="3646DD63">
      <w:pPr>
        <w:tabs>
          <w:tab w:val="left" w:pos="0"/>
          <w:tab w:val="left" w:pos="7560"/>
          <w:tab w:val="left" w:pos="7740"/>
          <w:tab w:val="left" w:pos="7920"/>
        </w:tabs>
        <w:adjustRightInd w:val="0"/>
        <w:snapToGrid w:val="0"/>
        <w:spacing w:line="360" w:lineRule="auto"/>
        <w:ind w:right="23" w:rightChars="11" w:firstLine="420" w:firstLineChars="200"/>
        <w:rPr>
          <w:rFonts w:ascii="宋体" w:hAnsi="宋体" w:cs="宋体"/>
          <w:color w:val="auto"/>
          <w:highlight w:val="none"/>
        </w:rPr>
      </w:pPr>
      <w:r>
        <w:rPr>
          <w:rFonts w:hint="eastAsia" w:ascii="宋体" w:hAnsi="宋体" w:cs="宋体"/>
          <w:color w:val="auto"/>
          <w:highlight w:val="none"/>
        </w:rPr>
        <w:t>27.2响应文件是否实质性响应磋商文件要求由磋商小组依据磋商文件规定认定。</w:t>
      </w:r>
      <w:r>
        <w:rPr>
          <w:rFonts w:hint="eastAsia" w:ascii="宋体" w:hAnsi="宋体" w:cs="宋体"/>
          <w:color w:val="auto"/>
          <w:kern w:val="0"/>
          <w:highlight w:val="none"/>
        </w:rPr>
        <w:t>磋商小组</w:t>
      </w:r>
      <w:r>
        <w:rPr>
          <w:rFonts w:hint="eastAsia" w:ascii="宋体" w:hAnsi="宋体" w:cs="宋体"/>
          <w:color w:val="auto"/>
          <w:highlight w:val="none"/>
        </w:rPr>
        <w:t>决定响应文件的响应性只根据响应文件本身的真实无误的内容，而不依据外部的证据。</w:t>
      </w:r>
    </w:p>
    <w:p w14:paraId="0DC54C99">
      <w:pPr>
        <w:pStyle w:val="11"/>
        <w:adjustRightInd w:val="0"/>
        <w:snapToGrid w:val="0"/>
        <w:spacing w:line="360" w:lineRule="auto"/>
        <w:rPr>
          <w:rFonts w:hAnsi="宋体"/>
          <w:b/>
          <w:bCs/>
          <w:color w:val="auto"/>
          <w:kern w:val="0"/>
          <w:highlight w:val="none"/>
        </w:rPr>
      </w:pPr>
      <w:r>
        <w:rPr>
          <w:rFonts w:hint="eastAsia" w:hAnsi="宋体"/>
          <w:b/>
          <w:bCs/>
          <w:color w:val="auto"/>
          <w:kern w:val="0"/>
          <w:highlight w:val="none"/>
        </w:rPr>
        <w:t>28.无效响应</w:t>
      </w:r>
    </w:p>
    <w:p w14:paraId="39C48880">
      <w:pPr>
        <w:pStyle w:val="11"/>
        <w:adjustRightInd w:val="0"/>
        <w:snapToGrid w:val="0"/>
        <w:spacing w:line="360" w:lineRule="auto"/>
        <w:ind w:firstLine="411" w:firstLineChars="196"/>
        <w:rPr>
          <w:rFonts w:hAnsi="宋体"/>
          <w:b/>
          <w:bCs/>
          <w:color w:val="auto"/>
          <w:kern w:val="0"/>
          <w:highlight w:val="none"/>
        </w:rPr>
      </w:pPr>
      <w:r>
        <w:rPr>
          <w:rFonts w:hint="eastAsia" w:hAnsi="宋体"/>
          <w:color w:val="auto"/>
          <w:kern w:val="0"/>
          <w:highlight w:val="none"/>
        </w:rPr>
        <w:t>28.1</w:t>
      </w:r>
      <w:r>
        <w:rPr>
          <w:rFonts w:hint="eastAsia" w:hAnsi="宋体"/>
          <w:color w:val="auto"/>
          <w:highlight w:val="none"/>
        </w:rPr>
        <w:t>磋商小组在对资格性和符合性进行审查时，有下列情况之一的，属无效响应，</w:t>
      </w:r>
      <w:r>
        <w:rPr>
          <w:rFonts w:hint="eastAsia" w:hAnsi="宋体"/>
          <w:color w:val="auto"/>
          <w:kern w:val="0"/>
          <w:highlight w:val="none"/>
        </w:rPr>
        <w:t>磋商小组应当告知有关供应商</w:t>
      </w:r>
      <w:r>
        <w:rPr>
          <w:rFonts w:hint="eastAsia" w:hAnsi="宋体"/>
          <w:color w:val="auto"/>
          <w:highlight w:val="none"/>
        </w:rPr>
        <w:t>：</w:t>
      </w:r>
    </w:p>
    <w:p w14:paraId="1CC52CAF">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（1）供应商不具备本章第3.1款规定的供应商资格条件要求，或存在本章第3.3款情形的；</w:t>
      </w:r>
    </w:p>
    <w:p w14:paraId="32A12C6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（2）联合体不符合本章第3.2款规定的；</w:t>
      </w:r>
    </w:p>
    <w:p w14:paraId="348FD92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（3）应交未交磋商保证金或金额不足、磋商保证金缴纳形式不符合磋商文件要求的；</w:t>
      </w:r>
    </w:p>
    <w:p w14:paraId="281D799F">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（4）响应文件未按照磋商文件要求签署、盖章的；</w:t>
      </w:r>
    </w:p>
    <w:p w14:paraId="49AABBE2">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）响应文件不满足本章第27.1款规定的实质性要求的；</w:t>
      </w:r>
    </w:p>
    <w:p w14:paraId="12795D7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）报价超过采购项目预算的；</w:t>
      </w:r>
    </w:p>
    <w:p w14:paraId="0548D9D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）响应文件有效期不足的；</w:t>
      </w:r>
    </w:p>
    <w:p w14:paraId="43C6302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）响应文件不符合法律、规章、规范性文件和磋商文件规定及要求的。</w:t>
      </w:r>
    </w:p>
    <w:p w14:paraId="1CDE5C68">
      <w:pPr>
        <w:widowControl/>
        <w:adjustRightInd w:val="0"/>
        <w:snapToGrid w:val="0"/>
        <w:spacing w:line="360" w:lineRule="auto"/>
        <w:jc w:val="left"/>
        <w:rPr>
          <w:rFonts w:ascii="宋体" w:hAnsi="宋体" w:cs="宋体"/>
          <w:b/>
          <w:bCs/>
          <w:color w:val="auto"/>
          <w:kern w:val="0"/>
          <w:highlight w:val="none"/>
        </w:rPr>
      </w:pPr>
      <w:r>
        <w:rPr>
          <w:rFonts w:hint="eastAsia" w:ascii="宋体" w:hAnsi="宋体" w:cs="宋体"/>
          <w:b/>
          <w:bCs/>
          <w:color w:val="auto"/>
          <w:kern w:val="0"/>
          <w:highlight w:val="none"/>
        </w:rPr>
        <w:t>29.澄清</w:t>
      </w:r>
    </w:p>
    <w:p w14:paraId="78565065">
      <w:pPr>
        <w:widowControl/>
        <w:adjustRightInd w:val="0"/>
        <w:snapToGrid w:val="0"/>
        <w:spacing w:line="360" w:lineRule="auto"/>
        <w:ind w:firstLine="420"/>
        <w:jc w:val="left"/>
        <w:rPr>
          <w:rFonts w:ascii="宋体" w:hAnsi="宋体" w:cs="宋体"/>
          <w:color w:val="auto"/>
          <w:kern w:val="0"/>
          <w:highlight w:val="none"/>
        </w:rPr>
      </w:pPr>
      <w:r>
        <w:rPr>
          <w:rFonts w:hint="eastAsia" w:ascii="宋体" w:hAnsi="宋体" w:cs="宋体"/>
          <w:color w:val="auto"/>
          <w:kern w:val="0"/>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151BE6C4">
      <w:pPr>
        <w:widowControl/>
        <w:adjustRightInd w:val="0"/>
        <w:snapToGrid w:val="0"/>
        <w:spacing w:line="360" w:lineRule="auto"/>
        <w:ind w:firstLine="420"/>
        <w:jc w:val="left"/>
        <w:rPr>
          <w:rFonts w:ascii="宋体" w:hAnsi="宋体" w:cs="宋体"/>
          <w:color w:val="auto"/>
          <w:kern w:val="0"/>
          <w:highlight w:val="none"/>
        </w:rPr>
      </w:pPr>
      <w:r>
        <w:rPr>
          <w:rFonts w:hint="eastAsia" w:ascii="宋体" w:hAnsi="宋体" w:cs="宋体"/>
          <w:color w:val="auto"/>
          <w:kern w:val="0"/>
          <w:highlight w:val="none"/>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0DF5C675">
      <w:pPr>
        <w:widowControl/>
        <w:adjustRightInd w:val="0"/>
        <w:snapToGrid w:val="0"/>
        <w:spacing w:line="360" w:lineRule="auto"/>
        <w:jc w:val="left"/>
        <w:rPr>
          <w:rFonts w:ascii="宋体" w:hAnsi="宋体" w:cs="宋体"/>
          <w:b/>
          <w:bCs/>
          <w:color w:val="auto"/>
          <w:kern w:val="0"/>
          <w:highlight w:val="none"/>
        </w:rPr>
      </w:pPr>
      <w:r>
        <w:rPr>
          <w:rFonts w:hint="eastAsia" w:ascii="宋体" w:hAnsi="宋体" w:cs="宋体"/>
          <w:b/>
          <w:bCs/>
          <w:color w:val="auto"/>
          <w:kern w:val="0"/>
          <w:highlight w:val="none"/>
        </w:rPr>
        <w:t>30.磋商</w:t>
      </w:r>
    </w:p>
    <w:p w14:paraId="4BE774C4">
      <w:pPr>
        <w:widowControl/>
        <w:adjustRightInd w:val="0"/>
        <w:snapToGrid w:val="0"/>
        <w:spacing w:line="360" w:lineRule="auto"/>
        <w:ind w:firstLine="420"/>
        <w:jc w:val="left"/>
        <w:rPr>
          <w:rFonts w:ascii="宋体" w:hAnsi="宋体" w:cs="宋体"/>
          <w:color w:val="auto"/>
          <w:kern w:val="0"/>
          <w:highlight w:val="none"/>
          <w:lang w:val="zh-CN"/>
        </w:rPr>
      </w:pPr>
      <w:r>
        <w:rPr>
          <w:rFonts w:hint="eastAsia" w:ascii="宋体" w:hAnsi="宋体" w:cs="宋体"/>
          <w:color w:val="auto"/>
          <w:kern w:val="0"/>
          <w:highlight w:val="none"/>
        </w:rPr>
        <w:t>30.1</w:t>
      </w:r>
      <w:r>
        <w:rPr>
          <w:rFonts w:hint="eastAsia" w:ascii="宋体" w:hAnsi="宋体" w:cs="宋体"/>
          <w:color w:val="auto"/>
          <w:highlight w:val="none"/>
        </w:rPr>
        <w:t>本章第10.2项</w:t>
      </w:r>
      <w:r>
        <w:rPr>
          <w:rFonts w:hint="eastAsia" w:ascii="宋体" w:hAnsi="宋体" w:cs="宋体"/>
          <w:color w:val="auto"/>
          <w:kern w:val="0"/>
          <w:highlight w:val="none"/>
        </w:rPr>
        <w:t>未明确磋商文件实质性变动内容的，或者磋商文件明确了可能发生实质性变动内容，但在磋商过程中，</w:t>
      </w:r>
      <w:r>
        <w:rPr>
          <w:rFonts w:hint="eastAsia" w:ascii="宋体" w:hAnsi="宋体" w:cs="宋体"/>
          <w:color w:val="auto"/>
          <w:highlight w:val="none"/>
        </w:rPr>
        <w:t>磋商小组</w:t>
      </w:r>
      <w:r>
        <w:rPr>
          <w:rFonts w:hint="eastAsia" w:ascii="宋体" w:hAnsi="宋体" w:cs="宋体"/>
          <w:color w:val="auto"/>
          <w:kern w:val="0"/>
          <w:highlight w:val="none"/>
        </w:rPr>
        <w:t>根据磋商情况</w:t>
      </w:r>
      <w:r>
        <w:rPr>
          <w:rFonts w:hint="eastAsia" w:ascii="宋体" w:hAnsi="宋体" w:cs="宋体"/>
          <w:color w:val="auto"/>
          <w:highlight w:val="none"/>
        </w:rPr>
        <w:t>认为</w:t>
      </w:r>
      <w:r>
        <w:rPr>
          <w:rFonts w:hint="eastAsia" w:ascii="宋体" w:hAnsi="宋体" w:cs="宋体"/>
          <w:color w:val="auto"/>
          <w:kern w:val="0"/>
          <w:highlight w:val="none"/>
        </w:rPr>
        <w:t>磋商文件无需发生实质性变动的，磋商小组应当直接与响应文件审查合格的供应商就价格组织多轮磋商。</w:t>
      </w:r>
    </w:p>
    <w:p w14:paraId="7270FD74">
      <w:pPr>
        <w:widowControl/>
        <w:tabs>
          <w:tab w:val="left" w:pos="1080"/>
          <w:tab w:val="left" w:pos="1260"/>
        </w:tabs>
        <w:adjustRightInd w:val="0"/>
        <w:snapToGrid w:val="0"/>
        <w:spacing w:line="360" w:lineRule="auto"/>
        <w:ind w:firstLine="420"/>
        <w:jc w:val="left"/>
        <w:rPr>
          <w:rFonts w:ascii="宋体" w:hAnsi="宋体" w:cs="宋体"/>
          <w:color w:val="auto"/>
          <w:kern w:val="0"/>
          <w:highlight w:val="none"/>
        </w:rPr>
      </w:pPr>
      <w:r>
        <w:rPr>
          <w:rFonts w:hint="eastAsia" w:ascii="宋体" w:hAnsi="宋体" w:cs="宋体"/>
          <w:color w:val="auto"/>
          <w:kern w:val="0"/>
          <w:highlight w:val="none"/>
        </w:rPr>
        <w:t>（1）磋商结束后，磋商小组应当要求所有继续参加磋商的供应商在磋商小组规定时间内提交最后报价。</w:t>
      </w:r>
    </w:p>
    <w:p w14:paraId="30FCD008">
      <w:pPr>
        <w:widowControl/>
        <w:tabs>
          <w:tab w:val="left" w:pos="1080"/>
          <w:tab w:val="left" w:pos="1260"/>
        </w:tabs>
        <w:adjustRightInd w:val="0"/>
        <w:snapToGrid w:val="0"/>
        <w:spacing w:line="360" w:lineRule="auto"/>
        <w:ind w:firstLine="420"/>
        <w:jc w:val="left"/>
        <w:rPr>
          <w:rFonts w:ascii="宋体" w:hAnsi="宋体" w:cs="宋体"/>
          <w:color w:val="auto"/>
          <w:kern w:val="0"/>
          <w:highlight w:val="none"/>
        </w:rPr>
      </w:pPr>
      <w:r>
        <w:rPr>
          <w:rFonts w:hint="eastAsia" w:ascii="宋体" w:hAnsi="宋体" w:cs="宋体"/>
          <w:color w:val="auto"/>
          <w:kern w:val="0"/>
          <w:highlight w:val="none"/>
        </w:rPr>
        <w:t>（2）磋商文件明确可能发生实质性变动，但在磋商过程中</w:t>
      </w:r>
      <w:r>
        <w:rPr>
          <w:rFonts w:hint="eastAsia" w:ascii="宋体" w:hAnsi="宋体" w:cs="宋体"/>
          <w:color w:val="auto"/>
          <w:highlight w:val="none"/>
        </w:rPr>
        <w:t>磋商小组</w:t>
      </w:r>
      <w:r>
        <w:rPr>
          <w:rFonts w:hint="eastAsia" w:ascii="宋体" w:hAnsi="宋体" w:cs="宋体"/>
          <w:color w:val="auto"/>
          <w:kern w:val="0"/>
          <w:highlight w:val="none"/>
        </w:rPr>
        <w:t>根据磋商情况</w:t>
      </w:r>
      <w:r>
        <w:rPr>
          <w:rFonts w:hint="eastAsia" w:ascii="宋体" w:hAnsi="宋体" w:cs="宋体"/>
          <w:color w:val="auto"/>
          <w:highlight w:val="none"/>
        </w:rPr>
        <w:t>认为</w:t>
      </w:r>
      <w:r>
        <w:rPr>
          <w:rFonts w:hint="eastAsia" w:ascii="宋体" w:hAnsi="宋体" w:cs="宋体"/>
          <w:color w:val="auto"/>
          <w:kern w:val="0"/>
          <w:highlight w:val="none"/>
        </w:rPr>
        <w:t>磋商文件无需发生实质性变动的，磋商小组不另行通知。</w:t>
      </w:r>
    </w:p>
    <w:p w14:paraId="33D15216">
      <w:pPr>
        <w:widowControl/>
        <w:adjustRightInd w:val="0"/>
        <w:snapToGrid w:val="0"/>
        <w:spacing w:line="360" w:lineRule="auto"/>
        <w:ind w:firstLine="420"/>
        <w:jc w:val="left"/>
        <w:rPr>
          <w:rFonts w:ascii="宋体" w:hAnsi="宋体" w:cs="宋体"/>
          <w:color w:val="auto"/>
          <w:kern w:val="0"/>
          <w:highlight w:val="none"/>
        </w:rPr>
      </w:pPr>
      <w:r>
        <w:rPr>
          <w:rFonts w:hint="eastAsia" w:ascii="宋体" w:hAnsi="宋体" w:cs="宋体"/>
          <w:color w:val="auto"/>
          <w:kern w:val="0"/>
          <w:highlight w:val="none"/>
        </w:rPr>
        <w:t>30.2</w:t>
      </w:r>
      <w:r>
        <w:rPr>
          <w:rFonts w:hint="eastAsia" w:ascii="宋体" w:hAnsi="宋体" w:cs="宋体"/>
          <w:color w:val="auto"/>
          <w:highlight w:val="none"/>
        </w:rPr>
        <w:t>本章第10.2</w:t>
      </w:r>
      <w:r>
        <w:rPr>
          <w:rFonts w:hint="eastAsia" w:ascii="宋体" w:hAnsi="宋体" w:cs="宋体"/>
          <w:color w:val="auto"/>
          <w:kern w:val="0"/>
          <w:highlight w:val="none"/>
          <w:lang w:val="zh-CN"/>
        </w:rPr>
        <w:t>款</w:t>
      </w:r>
      <w:r>
        <w:rPr>
          <w:rFonts w:hint="eastAsia" w:ascii="宋体" w:hAnsi="宋体" w:cs="宋体"/>
          <w:color w:val="auto"/>
          <w:kern w:val="0"/>
          <w:highlight w:val="none"/>
        </w:rPr>
        <w:t>明确磋商文件实质性变动内容的，</w:t>
      </w:r>
      <w:r>
        <w:rPr>
          <w:rFonts w:hint="eastAsia" w:ascii="宋体" w:hAnsi="宋体" w:cs="宋体"/>
          <w:color w:val="auto"/>
          <w:highlight w:val="none"/>
        </w:rPr>
        <w:t>磋商小组</w:t>
      </w:r>
      <w:r>
        <w:rPr>
          <w:rFonts w:hint="eastAsia" w:ascii="宋体" w:hAnsi="宋体" w:cs="宋体"/>
          <w:color w:val="auto"/>
          <w:kern w:val="0"/>
          <w:highlight w:val="none"/>
        </w:rPr>
        <w:t>可以组织多轮磋商。</w:t>
      </w:r>
      <w:r>
        <w:rPr>
          <w:rFonts w:hint="eastAsia" w:ascii="宋体" w:hAnsi="宋体" w:cs="宋体"/>
          <w:color w:val="auto"/>
          <w:highlight w:val="none"/>
        </w:rPr>
        <w:t>在每一轮磋商中，磋商小组</w:t>
      </w:r>
      <w:r>
        <w:rPr>
          <w:rFonts w:hint="eastAsia" w:ascii="宋体" w:hAnsi="宋体" w:cs="宋体"/>
          <w:color w:val="auto"/>
          <w:kern w:val="0"/>
          <w:highlight w:val="none"/>
        </w:rPr>
        <w:t>可以根据磋商文件规定和磋商情况，</w:t>
      </w:r>
      <w:r>
        <w:rPr>
          <w:rFonts w:hint="eastAsia" w:ascii="宋体" w:hAnsi="宋体" w:cs="宋体"/>
          <w:color w:val="auto"/>
          <w:highlight w:val="none"/>
        </w:rPr>
        <w:t>对磋商文件的</w:t>
      </w:r>
      <w:r>
        <w:rPr>
          <w:rFonts w:hint="eastAsia" w:ascii="宋体" w:hAnsi="宋体" w:cs="宋体"/>
          <w:color w:val="auto"/>
          <w:kern w:val="0"/>
          <w:highlight w:val="none"/>
        </w:rPr>
        <w:t>采购需求中的技术、服务要求以及合同草案条款</w:t>
      </w:r>
      <w:r>
        <w:rPr>
          <w:rFonts w:hint="eastAsia" w:ascii="宋体" w:hAnsi="宋体" w:cs="宋体"/>
          <w:color w:val="auto"/>
          <w:highlight w:val="none"/>
        </w:rPr>
        <w:t>作实质性变动(磋商文件的实质性变动内容为磋商文件的组成部分)，并以书面形式要求</w:t>
      </w:r>
      <w:r>
        <w:rPr>
          <w:rFonts w:hint="eastAsia" w:ascii="宋体" w:hAnsi="宋体" w:cs="宋体"/>
          <w:color w:val="auto"/>
          <w:kern w:val="0"/>
          <w:highlight w:val="none"/>
        </w:rPr>
        <w:t>响应文件审查合格</w:t>
      </w:r>
      <w:r>
        <w:rPr>
          <w:rFonts w:hint="eastAsia" w:ascii="宋体" w:hAnsi="宋体" w:cs="宋体"/>
          <w:color w:val="auto"/>
          <w:highlight w:val="none"/>
        </w:rPr>
        <w:t>的供应商，在规定的</w:t>
      </w:r>
      <w:r>
        <w:rPr>
          <w:rFonts w:hint="eastAsia" w:ascii="宋体" w:hAnsi="宋体" w:cs="宋体"/>
          <w:color w:val="auto"/>
          <w:kern w:val="0"/>
          <w:highlight w:val="none"/>
        </w:rPr>
        <w:t>截止时间前</w:t>
      </w:r>
      <w:r>
        <w:rPr>
          <w:rFonts w:hint="eastAsia" w:ascii="宋体" w:hAnsi="宋体" w:cs="宋体"/>
          <w:color w:val="auto"/>
          <w:highlight w:val="none"/>
        </w:rPr>
        <w:t>重</w:t>
      </w:r>
      <w:r>
        <w:rPr>
          <w:rFonts w:hint="eastAsia" w:ascii="宋体" w:hAnsi="宋体" w:cs="宋体"/>
          <w:color w:val="auto"/>
          <w:kern w:val="0"/>
          <w:highlight w:val="none"/>
        </w:rPr>
        <w:t>新提交响应文件</w:t>
      </w:r>
      <w:r>
        <w:rPr>
          <w:rFonts w:hint="eastAsia" w:ascii="宋体" w:hAnsi="宋体" w:cs="宋体"/>
          <w:color w:val="auto"/>
          <w:highlight w:val="none"/>
        </w:rPr>
        <w:t>。</w:t>
      </w:r>
      <w:r>
        <w:rPr>
          <w:rFonts w:hint="eastAsia" w:ascii="宋体" w:hAnsi="宋体" w:cs="宋体"/>
          <w:color w:val="auto"/>
          <w:kern w:val="0"/>
          <w:highlight w:val="none"/>
        </w:rPr>
        <w:t>磋商小组应当</w:t>
      </w:r>
      <w:r>
        <w:rPr>
          <w:rFonts w:hint="eastAsia" w:ascii="宋体" w:hAnsi="宋体" w:cs="宋体"/>
          <w:color w:val="auto"/>
          <w:highlight w:val="none"/>
        </w:rPr>
        <w:t>根据本章第26.2</w:t>
      </w:r>
      <w:r>
        <w:rPr>
          <w:rFonts w:hint="eastAsia" w:ascii="宋体" w:hAnsi="宋体" w:cs="宋体"/>
          <w:color w:val="auto"/>
          <w:kern w:val="0"/>
          <w:highlight w:val="none"/>
          <w:lang w:val="zh-CN"/>
        </w:rPr>
        <w:t>款</w:t>
      </w:r>
      <w:r>
        <w:rPr>
          <w:rFonts w:hint="eastAsia" w:ascii="宋体" w:hAnsi="宋体" w:cs="宋体"/>
          <w:color w:val="auto"/>
          <w:highlight w:val="none"/>
        </w:rPr>
        <w:t>规定</w:t>
      </w:r>
      <w:r>
        <w:rPr>
          <w:rFonts w:hint="eastAsia" w:ascii="宋体" w:hAnsi="宋体" w:cs="宋体"/>
          <w:color w:val="auto"/>
          <w:kern w:val="0"/>
          <w:highlight w:val="none"/>
        </w:rPr>
        <w:t>对供应商重新提交的响应文件进行审查。供应商重新提交的响应文件审查不合格的，不得进入下一轮磋商，也不得要求提交最后报价。</w:t>
      </w:r>
    </w:p>
    <w:p w14:paraId="2A27598E">
      <w:pPr>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（1）磋商文件能够详细列明采购需求的技术、服务要求的，磋商结束后，磋商小组应当要求所有继续参加磋商的供应商在规定时间内提交最后报价。</w:t>
      </w:r>
    </w:p>
    <w:p w14:paraId="1C464EA3">
      <w:pPr>
        <w:widowControl/>
        <w:adjustRightInd w:val="0"/>
        <w:snapToGrid w:val="0"/>
        <w:spacing w:line="360" w:lineRule="auto"/>
        <w:ind w:firstLine="420"/>
        <w:jc w:val="left"/>
        <w:rPr>
          <w:rFonts w:ascii="宋体" w:hAnsi="宋体" w:cs="宋体"/>
          <w:color w:val="auto"/>
          <w:kern w:val="0"/>
          <w:highlight w:val="none"/>
        </w:rPr>
      </w:pPr>
      <w:r>
        <w:rPr>
          <w:rFonts w:hint="eastAsia" w:ascii="宋体" w:hAnsi="宋体" w:cs="宋体"/>
          <w:color w:val="auto"/>
          <w:kern w:val="0"/>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6DE0EDB">
      <w:pPr>
        <w:widowControl/>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30.3重</w:t>
      </w:r>
      <w:r>
        <w:rPr>
          <w:rFonts w:hint="eastAsia" w:ascii="宋体" w:hAnsi="宋体" w:cs="宋体"/>
          <w:color w:val="auto"/>
          <w:kern w:val="0"/>
          <w:highlight w:val="none"/>
        </w:rPr>
        <w:t>新提交的响应文件</w:t>
      </w:r>
      <w:r>
        <w:rPr>
          <w:rFonts w:hint="eastAsia" w:ascii="宋体" w:hAnsi="宋体" w:cs="宋体"/>
          <w:color w:val="auto"/>
          <w:highlight w:val="none"/>
        </w:rPr>
        <w:t>或者最后报价应按</w:t>
      </w:r>
      <w:r>
        <w:rPr>
          <w:rFonts w:hint="eastAsia" w:ascii="宋体" w:hAnsi="宋体" w:cs="宋体"/>
          <w:color w:val="auto"/>
          <w:kern w:val="0"/>
          <w:highlight w:val="none"/>
        </w:rPr>
        <w:t>本章第</w:t>
      </w:r>
      <w:r>
        <w:rPr>
          <w:rFonts w:hint="eastAsia" w:ascii="宋体" w:hAnsi="宋体" w:cs="宋体"/>
          <w:color w:val="auto"/>
          <w:highlight w:val="none"/>
        </w:rPr>
        <w:t>21.3</w:t>
      </w:r>
      <w:r>
        <w:rPr>
          <w:rFonts w:hint="eastAsia" w:ascii="宋体" w:hAnsi="宋体" w:cs="宋体"/>
          <w:color w:val="auto"/>
          <w:kern w:val="0"/>
          <w:highlight w:val="none"/>
          <w:lang w:val="zh-CN"/>
        </w:rPr>
        <w:t>款</w:t>
      </w:r>
      <w:r>
        <w:rPr>
          <w:rFonts w:hint="eastAsia" w:ascii="宋体" w:hAnsi="宋体" w:cs="宋体"/>
          <w:color w:val="auto"/>
          <w:highlight w:val="none"/>
        </w:rPr>
        <w:t>规定，</w:t>
      </w:r>
      <w:r>
        <w:rPr>
          <w:rFonts w:hint="eastAsia" w:ascii="宋体" w:hAnsi="宋体" w:cs="宋体"/>
          <w:color w:val="auto"/>
          <w:kern w:val="0"/>
          <w:highlight w:val="none"/>
        </w:rPr>
        <w:t>由其法定代表人或其委托代理人签字或者加盖供应商单位章，在规定时间内密封递交给磋商小组</w:t>
      </w:r>
      <w:r>
        <w:rPr>
          <w:rFonts w:hint="eastAsia" w:ascii="宋体" w:hAnsi="宋体" w:cs="宋体"/>
          <w:color w:val="auto"/>
          <w:highlight w:val="none"/>
        </w:rPr>
        <w:t>。</w:t>
      </w:r>
    </w:p>
    <w:p w14:paraId="2728D813">
      <w:pPr>
        <w:widowControl/>
        <w:adjustRightInd w:val="0"/>
        <w:snapToGrid w:val="0"/>
        <w:spacing w:line="360" w:lineRule="auto"/>
        <w:ind w:firstLine="420"/>
        <w:jc w:val="left"/>
        <w:rPr>
          <w:rFonts w:ascii="宋体" w:hAnsi="宋体" w:cs="宋体"/>
          <w:color w:val="auto"/>
          <w:kern w:val="0"/>
          <w:highlight w:val="none"/>
        </w:rPr>
      </w:pPr>
      <w:r>
        <w:rPr>
          <w:rFonts w:hint="eastAsia" w:ascii="宋体" w:hAnsi="宋体" w:cs="宋体"/>
          <w:color w:val="auto"/>
          <w:kern w:val="0"/>
          <w:highlight w:val="none"/>
        </w:rPr>
        <w:t>30.4</w:t>
      </w:r>
      <w:r>
        <w:rPr>
          <w:rFonts w:hint="eastAsia" w:ascii="宋体" w:hAnsi="宋体" w:cs="宋体"/>
          <w:color w:val="auto"/>
          <w:kern w:val="0"/>
          <w:highlight w:val="none"/>
          <w:lang w:val="zh-CN"/>
        </w:rPr>
        <w:t>供应商的</w:t>
      </w:r>
      <w:r>
        <w:rPr>
          <w:rFonts w:hint="eastAsia" w:ascii="宋体" w:hAnsi="宋体" w:cs="宋体"/>
          <w:color w:val="auto"/>
          <w:highlight w:val="none"/>
        </w:rPr>
        <w:t>最</w:t>
      </w:r>
      <w:r>
        <w:rPr>
          <w:rFonts w:hint="eastAsia" w:ascii="宋体" w:hAnsi="宋体" w:cs="宋体"/>
          <w:color w:val="auto"/>
          <w:kern w:val="0"/>
          <w:highlight w:val="none"/>
          <w:lang w:val="zh-CN"/>
        </w:rPr>
        <w:t>后</w:t>
      </w:r>
      <w:r>
        <w:rPr>
          <w:rFonts w:hint="eastAsia" w:ascii="宋体" w:hAnsi="宋体" w:cs="宋体"/>
          <w:color w:val="auto"/>
          <w:highlight w:val="none"/>
        </w:rPr>
        <w:t>报价及</w:t>
      </w:r>
      <w:r>
        <w:rPr>
          <w:rFonts w:hint="eastAsia" w:ascii="宋体" w:hAnsi="宋体" w:cs="宋体"/>
          <w:color w:val="auto"/>
          <w:kern w:val="0"/>
          <w:highlight w:val="none"/>
        </w:rPr>
        <w:t>政府采购政策规定的价格扣除情况，磋商小组应召集所有参加最后报价的供应商当场开封</w:t>
      </w:r>
      <w:r>
        <w:rPr>
          <w:rFonts w:hint="eastAsia" w:ascii="宋体" w:hAnsi="宋体" w:cs="宋体"/>
          <w:color w:val="auto"/>
          <w:highlight w:val="none"/>
        </w:rPr>
        <w:t>公布，并由供应商代表签字确认。</w:t>
      </w:r>
    </w:p>
    <w:p w14:paraId="4560A848">
      <w:pPr>
        <w:widowControl/>
        <w:adjustRightInd w:val="0"/>
        <w:snapToGrid w:val="0"/>
        <w:spacing w:line="360" w:lineRule="auto"/>
        <w:ind w:firstLine="420"/>
        <w:jc w:val="left"/>
        <w:rPr>
          <w:rFonts w:ascii="宋体" w:hAnsi="宋体" w:cs="宋体"/>
          <w:color w:val="auto"/>
          <w:kern w:val="0"/>
          <w:highlight w:val="none"/>
        </w:rPr>
      </w:pPr>
      <w:r>
        <w:rPr>
          <w:rFonts w:hint="eastAsia" w:ascii="宋体" w:hAnsi="宋体" w:cs="宋体"/>
          <w:color w:val="auto"/>
          <w:kern w:val="0"/>
          <w:highlight w:val="none"/>
        </w:rPr>
        <w:t>30.5提交首次响应文件的供应商，在提交最后报价之前，可以根据磋商情况退出磋商，并书面通知采购代理机构或者磋商小组。</w:t>
      </w:r>
      <w:r>
        <w:rPr>
          <w:rFonts w:hint="eastAsia" w:ascii="宋体" w:hAnsi="宋体" w:cs="宋体"/>
          <w:color w:val="auto"/>
          <w:highlight w:val="none"/>
        </w:rPr>
        <w:t>该通知由供应商法定代表人或其委托代理人签字。</w:t>
      </w:r>
      <w:r>
        <w:rPr>
          <w:rFonts w:hint="eastAsia" w:ascii="宋体" w:hAnsi="宋体" w:cs="宋体"/>
          <w:color w:val="auto"/>
          <w:kern w:val="0"/>
          <w:highlight w:val="none"/>
        </w:rPr>
        <w:t>采购代理机构按本章第</w:t>
      </w:r>
      <w:r>
        <w:rPr>
          <w:rFonts w:hint="eastAsia" w:ascii="宋体" w:hAnsi="宋体" w:cs="宋体"/>
          <w:color w:val="auto"/>
          <w:highlight w:val="none"/>
        </w:rPr>
        <w:t>19.4</w:t>
      </w:r>
      <w:r>
        <w:rPr>
          <w:rFonts w:hint="eastAsia" w:ascii="宋体" w:hAnsi="宋体" w:cs="宋体"/>
          <w:color w:val="auto"/>
          <w:kern w:val="0"/>
          <w:highlight w:val="none"/>
          <w:lang w:val="zh-CN"/>
        </w:rPr>
        <w:t>款</w:t>
      </w:r>
      <w:r>
        <w:rPr>
          <w:rFonts w:hint="eastAsia" w:ascii="宋体" w:hAnsi="宋体" w:cs="宋体"/>
          <w:color w:val="auto"/>
          <w:highlight w:val="none"/>
        </w:rPr>
        <w:t>规定</w:t>
      </w:r>
      <w:r>
        <w:rPr>
          <w:rFonts w:hint="eastAsia" w:ascii="宋体" w:hAnsi="宋体" w:cs="宋体"/>
          <w:color w:val="auto"/>
          <w:kern w:val="0"/>
          <w:highlight w:val="none"/>
        </w:rPr>
        <w:t>退还退出磋商的供应商的磋商保证金。</w:t>
      </w:r>
    </w:p>
    <w:p w14:paraId="593B5D5D">
      <w:pPr>
        <w:adjustRightInd w:val="0"/>
        <w:snapToGrid w:val="0"/>
        <w:spacing w:line="360" w:lineRule="auto"/>
        <w:ind w:firstLine="420" w:firstLineChars="200"/>
        <w:rPr>
          <w:rFonts w:ascii="宋体" w:hAnsi="宋体" w:cs="宋体"/>
          <w:color w:val="auto"/>
          <w:kern w:val="0"/>
          <w:highlight w:val="none"/>
        </w:rPr>
      </w:pPr>
      <w:r>
        <w:rPr>
          <w:rFonts w:hint="eastAsia" w:ascii="宋体" w:hAnsi="宋体" w:cs="宋体"/>
          <w:color w:val="auto"/>
          <w:highlight w:val="none"/>
        </w:rPr>
        <w:t>30.6</w:t>
      </w:r>
      <w:r>
        <w:rPr>
          <w:rFonts w:hint="eastAsia" w:ascii="宋体" w:hAnsi="宋体" w:cs="宋体"/>
          <w:color w:val="auto"/>
          <w:kern w:val="0"/>
          <w:highlight w:val="none"/>
        </w:rPr>
        <w:t>提交首次响应文件的供应商，未按磋商文件规定及磋商小组要求提交最后报价(或者</w:t>
      </w:r>
      <w:r>
        <w:rPr>
          <w:rFonts w:hint="eastAsia" w:ascii="宋体" w:hAnsi="宋体" w:cs="宋体"/>
          <w:color w:val="auto"/>
          <w:highlight w:val="none"/>
        </w:rPr>
        <w:t>重</w:t>
      </w:r>
      <w:r>
        <w:rPr>
          <w:rFonts w:hint="eastAsia" w:ascii="宋体" w:hAnsi="宋体" w:cs="宋体"/>
          <w:color w:val="auto"/>
          <w:kern w:val="0"/>
          <w:highlight w:val="none"/>
        </w:rPr>
        <w:t>新提交的响应文件和最后报价)，且又未按本章第</w:t>
      </w:r>
      <w:r>
        <w:rPr>
          <w:rFonts w:hint="eastAsia" w:ascii="宋体" w:hAnsi="宋体" w:cs="宋体"/>
          <w:color w:val="auto"/>
          <w:highlight w:val="none"/>
        </w:rPr>
        <w:t>30.5</w:t>
      </w:r>
      <w:r>
        <w:rPr>
          <w:rFonts w:hint="eastAsia" w:ascii="宋体" w:hAnsi="宋体" w:cs="宋体"/>
          <w:color w:val="auto"/>
          <w:kern w:val="0"/>
          <w:highlight w:val="none"/>
          <w:lang w:val="zh-CN"/>
        </w:rPr>
        <w:t>款</w:t>
      </w:r>
      <w:r>
        <w:rPr>
          <w:rFonts w:hint="eastAsia" w:ascii="宋体" w:hAnsi="宋体" w:cs="宋体"/>
          <w:color w:val="auto"/>
          <w:highlight w:val="none"/>
        </w:rPr>
        <w:t>规定</w:t>
      </w:r>
      <w:r>
        <w:rPr>
          <w:rFonts w:hint="eastAsia" w:ascii="宋体" w:hAnsi="宋体" w:cs="宋体"/>
          <w:color w:val="auto"/>
          <w:kern w:val="0"/>
          <w:highlight w:val="none"/>
        </w:rPr>
        <w:t>退出磋商的，供应商的磋商保证金不予退还。</w:t>
      </w:r>
    </w:p>
    <w:p w14:paraId="2096F232">
      <w:pPr>
        <w:widowControl/>
        <w:adjustRightInd w:val="0"/>
        <w:snapToGrid w:val="0"/>
        <w:spacing w:line="360" w:lineRule="auto"/>
        <w:jc w:val="left"/>
        <w:rPr>
          <w:rFonts w:ascii="宋体" w:hAnsi="宋体" w:cs="宋体"/>
          <w:b/>
          <w:bCs/>
          <w:color w:val="auto"/>
          <w:highlight w:val="none"/>
        </w:rPr>
      </w:pPr>
      <w:r>
        <w:rPr>
          <w:rFonts w:hint="eastAsia" w:ascii="宋体" w:hAnsi="宋体" w:cs="宋体"/>
          <w:b/>
          <w:bCs/>
          <w:color w:val="auto"/>
          <w:kern w:val="0"/>
          <w:highlight w:val="none"/>
        </w:rPr>
        <w:t>31.响应文件评审</w:t>
      </w:r>
    </w:p>
    <w:p w14:paraId="23476126">
      <w:pPr>
        <w:widowControl/>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31.1经磋商确定最终采购需求和提交最后报价的供应商后，由磋商小组采用综合评分法对提交最后报价的供应商的响应文件和最后报价进行综合评价。</w:t>
      </w:r>
    </w:p>
    <w:p w14:paraId="67733E72">
      <w:pPr>
        <w:widowControl/>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cs="宋体"/>
          <w:b/>
          <w:bCs/>
          <w:color w:val="auto"/>
          <w:highlight w:val="none"/>
        </w:rPr>
        <w:t>磋商须知前附表。</w:t>
      </w:r>
    </w:p>
    <w:p w14:paraId="543FDF4A">
      <w:pPr>
        <w:widowControl/>
        <w:adjustRightInd w:val="0"/>
        <w:snapToGrid w:val="0"/>
        <w:spacing w:beforeLines="50"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31.3</w:t>
      </w:r>
      <w:r>
        <w:rPr>
          <w:rFonts w:hint="eastAsia" w:ascii="宋体" w:hAnsi="宋体" w:cs="宋体"/>
          <w:color w:val="auto"/>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cs="宋体"/>
          <w:b/>
          <w:bCs/>
          <w:color w:val="auto"/>
          <w:highlight w:val="none"/>
        </w:rPr>
        <w:t>磋商须知前附表</w:t>
      </w:r>
      <w:r>
        <w:rPr>
          <w:rFonts w:hint="eastAsia" w:ascii="宋体" w:hAnsi="宋体" w:cs="宋体"/>
          <w:color w:val="auto"/>
          <w:highlight w:val="none"/>
        </w:rPr>
        <w:t>。</w:t>
      </w:r>
    </w:p>
    <w:p w14:paraId="56041F5F">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0B5AB041">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磋商报价得分=（磋商基准价/最后磋商报价）×价格权值×100</w:t>
      </w:r>
    </w:p>
    <w:p w14:paraId="5DB0E832">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项目评审过程中，不得去掉最后报价中的最高报价和最低报价。</w:t>
      </w:r>
    </w:p>
    <w:p w14:paraId="1312D2EB">
      <w:pPr>
        <w:widowControl/>
        <w:adjustRightInd w:val="0"/>
        <w:snapToGrid w:val="0"/>
        <w:spacing w:beforeLines="50"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31.5涉及政府采购政策优惠对供应商分值进行调整的，按</w:t>
      </w:r>
      <w:r>
        <w:rPr>
          <w:rFonts w:hint="eastAsia" w:ascii="宋体" w:hAnsi="宋体" w:cs="宋体"/>
          <w:b/>
          <w:bCs/>
          <w:color w:val="auto"/>
          <w:highlight w:val="none"/>
        </w:rPr>
        <w:t>磋商须知前附表</w:t>
      </w:r>
      <w:r>
        <w:rPr>
          <w:rFonts w:hint="eastAsia" w:ascii="宋体" w:hAnsi="宋体" w:cs="宋体"/>
          <w:color w:val="auto"/>
          <w:highlight w:val="none"/>
        </w:rPr>
        <w:t>规定调整供应商的技术、商务、价格</w:t>
      </w:r>
      <w:r>
        <w:rPr>
          <w:rFonts w:hint="eastAsia" w:ascii="宋体" w:hAnsi="宋体" w:cs="宋体"/>
          <w:color w:val="auto"/>
          <w:kern w:val="0"/>
          <w:highlight w:val="none"/>
        </w:rPr>
        <w:t>得分或总得分</w:t>
      </w:r>
      <w:r>
        <w:rPr>
          <w:rFonts w:hint="eastAsia" w:ascii="宋体" w:hAnsi="宋体" w:cs="宋体"/>
          <w:color w:val="auto"/>
          <w:highlight w:val="none"/>
        </w:rPr>
        <w:t>。</w:t>
      </w:r>
    </w:p>
    <w:p w14:paraId="580AC41A">
      <w:pPr>
        <w:adjustRightInd w:val="0"/>
        <w:snapToGrid w:val="0"/>
        <w:spacing w:beforeLines="50" w:line="360" w:lineRule="auto"/>
        <w:ind w:firstLine="420" w:firstLineChars="200"/>
        <w:rPr>
          <w:rFonts w:ascii="宋体" w:hAnsi="宋体" w:cs="宋体"/>
          <w:color w:val="auto"/>
          <w:highlight w:val="none"/>
        </w:rPr>
      </w:pPr>
      <w:r>
        <w:rPr>
          <w:rFonts w:hint="eastAsia" w:ascii="宋体" w:hAnsi="宋体" w:cs="宋体"/>
          <w:color w:val="auto"/>
          <w:highlight w:val="none"/>
        </w:rPr>
        <w:t>31.6涉及多处或部分获得政府采购政策优惠的，其多处或部分享受政府采购优惠政策的计算方法见</w:t>
      </w:r>
      <w:r>
        <w:rPr>
          <w:rFonts w:hint="eastAsia" w:ascii="宋体" w:hAnsi="宋体" w:cs="宋体"/>
          <w:b/>
          <w:bCs/>
          <w:color w:val="auto"/>
          <w:highlight w:val="none"/>
        </w:rPr>
        <w:t>磋商须知前附表</w:t>
      </w:r>
      <w:r>
        <w:rPr>
          <w:rFonts w:hint="eastAsia" w:ascii="宋体" w:hAnsi="宋体" w:cs="宋体"/>
          <w:color w:val="auto"/>
          <w:highlight w:val="none"/>
        </w:rPr>
        <w:t>相关规定。</w:t>
      </w:r>
    </w:p>
    <w:p w14:paraId="6DA2330E">
      <w:pPr>
        <w:widowControl/>
        <w:adjustRightInd w:val="0"/>
        <w:snapToGrid w:val="0"/>
        <w:spacing w:beforeLines="50" w:line="360" w:lineRule="auto"/>
        <w:ind w:firstLine="420" w:firstLineChars="200"/>
        <w:jc w:val="left"/>
        <w:rPr>
          <w:rFonts w:ascii="宋体" w:hAnsi="宋体" w:cs="宋体"/>
          <w:color w:val="auto"/>
          <w:highlight w:val="none"/>
        </w:rPr>
      </w:pPr>
      <w:r>
        <w:rPr>
          <w:rFonts w:hint="eastAsia" w:ascii="宋体" w:hAnsi="宋体" w:cs="宋体"/>
          <w:color w:val="auto"/>
          <w:kern w:val="0"/>
          <w:highlight w:val="none"/>
        </w:rPr>
        <w:t>31.7</w:t>
      </w:r>
      <w:r>
        <w:rPr>
          <w:rFonts w:hint="eastAsia" w:ascii="宋体" w:hAnsi="宋体" w:cs="宋体"/>
          <w:color w:val="auto"/>
          <w:highlight w:val="none"/>
        </w:rPr>
        <w:t>评审时，磋商小组各成员应当独立对每个供应商的响应文件进行评价、评分，并按照政府采购优惠政策对最后报价进行价格扣除和技术、商务、价格加分后，汇总各供应商的总得分。</w:t>
      </w:r>
    </w:p>
    <w:p w14:paraId="68D97A2D">
      <w:pPr>
        <w:widowControl/>
        <w:adjustRightInd w:val="0"/>
        <w:snapToGrid w:val="0"/>
        <w:spacing w:line="360" w:lineRule="auto"/>
        <w:jc w:val="left"/>
        <w:rPr>
          <w:rFonts w:ascii="宋体" w:hAnsi="宋体" w:cs="宋体"/>
          <w:b/>
          <w:bCs/>
          <w:color w:val="auto"/>
          <w:highlight w:val="none"/>
        </w:rPr>
      </w:pPr>
      <w:r>
        <w:rPr>
          <w:rFonts w:hint="eastAsia" w:ascii="宋体" w:hAnsi="宋体" w:cs="宋体"/>
          <w:b/>
          <w:bCs/>
          <w:color w:val="auto"/>
          <w:highlight w:val="none"/>
        </w:rPr>
        <w:t>32</w:t>
      </w:r>
      <w:r>
        <w:rPr>
          <w:rFonts w:hint="eastAsia" w:ascii="宋体" w:hAnsi="宋体" w:cs="宋体"/>
          <w:b/>
          <w:bCs/>
          <w:color w:val="auto"/>
          <w:kern w:val="0"/>
          <w:highlight w:val="none"/>
        </w:rPr>
        <w:t>.</w:t>
      </w:r>
      <w:r>
        <w:rPr>
          <w:rFonts w:hint="eastAsia" w:ascii="宋体" w:hAnsi="宋体" w:cs="宋体"/>
          <w:b/>
          <w:bCs/>
          <w:color w:val="auto"/>
          <w:highlight w:val="none"/>
        </w:rPr>
        <w:t>提出成交供应商</w:t>
      </w:r>
    </w:p>
    <w:p w14:paraId="33E2FC4B">
      <w:pPr>
        <w:widowControl/>
        <w:spacing w:line="420" w:lineRule="atLeast"/>
        <w:jc w:val="center"/>
        <w:rPr>
          <w:rFonts w:ascii="宋体" w:hAnsi="宋体" w:cs="宋体"/>
          <w:color w:val="auto"/>
          <w:highlight w:val="none"/>
        </w:rPr>
      </w:pPr>
      <w:r>
        <w:rPr>
          <w:rFonts w:hint="eastAsia" w:ascii="宋体" w:hAnsi="宋体" w:cs="宋体"/>
          <w:color w:val="auto"/>
          <w:kern w:val="0"/>
          <w:highlight w:val="none"/>
        </w:rPr>
        <w:t xml:space="preserve">    32.1</w:t>
      </w:r>
      <w:r>
        <w:rPr>
          <w:rFonts w:hint="eastAsia" w:ascii="宋体" w:hAnsi="宋体" w:cs="宋体"/>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14:paraId="5866BC56">
      <w:pPr>
        <w:widowControl/>
        <w:spacing w:line="420" w:lineRule="atLeast"/>
        <w:rPr>
          <w:rFonts w:ascii="宋体" w:hAnsi="宋体" w:cs="宋体"/>
          <w:color w:val="auto"/>
          <w:kern w:val="0"/>
          <w:highlight w:val="none"/>
        </w:rPr>
      </w:pPr>
      <w:r>
        <w:rPr>
          <w:rFonts w:hint="eastAsia" w:ascii="宋体" w:hAnsi="宋体" w:cs="宋体"/>
          <w:color w:val="auto"/>
          <w:highlight w:val="none"/>
        </w:rPr>
        <w:t>库〔2014〕214号)</w:t>
      </w:r>
      <w:r>
        <w:rPr>
          <w:rFonts w:hint="eastAsia" w:ascii="宋体" w:hAnsi="宋体" w:cs="宋体"/>
          <w:color w:val="auto"/>
          <w:kern w:val="0"/>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cs="宋体"/>
          <w:color w:val="auto"/>
          <w:highlight w:val="none"/>
        </w:rPr>
        <w:t>可以推荐2家成交候选供应商。</w:t>
      </w:r>
    </w:p>
    <w:p w14:paraId="023BC5BD">
      <w:pPr>
        <w:tabs>
          <w:tab w:val="left" w:pos="0"/>
        </w:tabs>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33.确定成交供应商</w:t>
      </w:r>
    </w:p>
    <w:p w14:paraId="76EF7976">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33.1采购代理机构应当在评审结束后2个工作日内将评审报告送采购人确认。</w:t>
      </w:r>
    </w:p>
    <w:p w14:paraId="51F77A25">
      <w:pPr>
        <w:widowControl/>
        <w:adjustRightInd w:val="0"/>
        <w:snapToGrid w:val="0"/>
        <w:spacing w:line="360" w:lineRule="auto"/>
        <w:ind w:firstLine="420"/>
        <w:jc w:val="left"/>
        <w:rPr>
          <w:rFonts w:ascii="宋体" w:hAnsi="宋体" w:cs="宋体"/>
          <w:color w:val="auto"/>
          <w:kern w:val="0"/>
          <w:highlight w:val="none"/>
        </w:rPr>
      </w:pPr>
      <w:r>
        <w:rPr>
          <w:rFonts w:hint="eastAsia" w:ascii="宋体" w:hAnsi="宋体" w:cs="宋体"/>
          <w:color w:val="auto"/>
          <w:kern w:val="0"/>
          <w:highlight w:val="none"/>
        </w:rPr>
        <w:t>33.2采购人应当在收到评审报告后5个工作日内，从评审报告提出的成交候选供应商中，按照排序由高到低的原则确定成交供应商，也可以书面授权磋商小组直接确定成交供应商。</w:t>
      </w:r>
    </w:p>
    <w:p w14:paraId="6EEBAF18">
      <w:pPr>
        <w:pStyle w:val="11"/>
        <w:adjustRightInd w:val="0"/>
        <w:snapToGrid w:val="0"/>
        <w:spacing w:line="360" w:lineRule="auto"/>
        <w:ind w:left="632" w:hanging="632" w:hangingChars="300"/>
        <w:rPr>
          <w:rFonts w:hAnsi="宋体"/>
          <w:b/>
          <w:bCs/>
          <w:color w:val="auto"/>
          <w:highlight w:val="none"/>
        </w:rPr>
      </w:pPr>
      <w:r>
        <w:rPr>
          <w:rFonts w:hint="eastAsia" w:hAnsi="宋体"/>
          <w:b/>
          <w:bCs/>
          <w:color w:val="auto"/>
          <w:highlight w:val="none"/>
        </w:rPr>
        <w:t>34.磋商终止</w:t>
      </w:r>
    </w:p>
    <w:p w14:paraId="4F26C6E0">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highlight w:val="none"/>
        </w:rPr>
        <w:t>34.1</w:t>
      </w:r>
      <w:r>
        <w:rPr>
          <w:rFonts w:hint="eastAsia" w:ascii="宋体" w:hAnsi="宋体" w:cs="宋体"/>
          <w:color w:val="auto"/>
          <w:kern w:val="0"/>
          <w:highlight w:val="none"/>
        </w:rPr>
        <w:t>出现下列情形之一的，采购人或者采购代理机构应当终止竞争性磋商采购活动，</w:t>
      </w:r>
      <w:r>
        <w:rPr>
          <w:rFonts w:hint="eastAsia" w:ascii="宋体" w:hAnsi="宋体" w:cs="宋体"/>
          <w:color w:val="auto"/>
          <w:highlight w:val="none"/>
        </w:rPr>
        <w:t>在本章第37.1款指定的媒体上</w:t>
      </w:r>
      <w:r>
        <w:rPr>
          <w:rFonts w:hint="eastAsia" w:ascii="宋体" w:hAnsi="宋体" w:cs="宋体"/>
          <w:color w:val="auto"/>
          <w:kern w:val="0"/>
          <w:highlight w:val="none"/>
        </w:rPr>
        <w:t>发布项目终止公告并说明原因，重新开展采购活动：</w:t>
      </w:r>
    </w:p>
    <w:p w14:paraId="2579545C">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（1）因情况变化，不再符合规定的竞争性磋商采购方式适用情形的；</w:t>
      </w:r>
    </w:p>
    <w:p w14:paraId="0E12DE4D">
      <w:pPr>
        <w:widowControl/>
        <w:adjustRightInd w:val="0"/>
        <w:snapToGrid w:val="0"/>
        <w:spacing w:line="360" w:lineRule="auto"/>
        <w:ind w:firstLine="420"/>
        <w:jc w:val="left"/>
        <w:rPr>
          <w:rFonts w:ascii="宋体" w:hAnsi="宋体" w:cs="宋体"/>
          <w:color w:val="auto"/>
          <w:kern w:val="0"/>
          <w:highlight w:val="none"/>
        </w:rPr>
      </w:pPr>
      <w:r>
        <w:rPr>
          <w:rFonts w:hint="eastAsia" w:ascii="宋体" w:hAnsi="宋体" w:cs="宋体"/>
          <w:color w:val="auto"/>
          <w:kern w:val="0"/>
          <w:highlight w:val="none"/>
        </w:rPr>
        <w:t>（2）出现影响采购公正的违法、违规行为的；</w:t>
      </w:r>
    </w:p>
    <w:p w14:paraId="4832DEEA">
      <w:pPr>
        <w:widowControl/>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kern w:val="0"/>
          <w:highlight w:val="none"/>
        </w:rPr>
        <w:t>（3）</w:t>
      </w:r>
      <w:r>
        <w:rPr>
          <w:rFonts w:hint="eastAsia" w:ascii="宋体" w:hAnsi="宋体" w:cs="宋体"/>
          <w:color w:val="auto"/>
          <w:highlight w:val="none"/>
        </w:rPr>
        <w:t>除《政府采购竞争性磋商采购方式管理暂行办法》(财库〔2014〕214号)</w:t>
      </w:r>
      <w:r>
        <w:rPr>
          <w:rFonts w:hint="eastAsia" w:ascii="宋体" w:hAnsi="宋体" w:cs="宋体"/>
          <w:color w:val="auto"/>
          <w:kern w:val="0"/>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cs="宋体"/>
          <w:color w:val="auto"/>
          <w:highlight w:val="none"/>
        </w:rPr>
        <w:t>情形外，在采购过程中符合要求的供应商或者报价未超过采购预算的供应商不足3家的；</w:t>
      </w:r>
    </w:p>
    <w:p w14:paraId="2F2281D9">
      <w:pPr>
        <w:widowControl/>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kern w:val="0"/>
          <w:highlight w:val="none"/>
        </w:rPr>
        <w:t>（4）因重大变故，采购任务取消的。</w:t>
      </w:r>
    </w:p>
    <w:p w14:paraId="161EE311">
      <w:pPr>
        <w:widowControl/>
        <w:adjustRightInd w:val="0"/>
        <w:snapToGrid w:val="0"/>
        <w:spacing w:line="360" w:lineRule="auto"/>
        <w:jc w:val="left"/>
        <w:rPr>
          <w:rFonts w:ascii="宋体" w:hAnsi="宋体" w:cs="宋体"/>
          <w:b/>
          <w:bCs/>
          <w:color w:val="auto"/>
          <w:kern w:val="0"/>
          <w:highlight w:val="none"/>
        </w:rPr>
      </w:pPr>
      <w:r>
        <w:rPr>
          <w:rFonts w:hint="eastAsia" w:ascii="宋体" w:hAnsi="宋体" w:cs="宋体"/>
          <w:b/>
          <w:bCs/>
          <w:color w:val="auto"/>
          <w:kern w:val="0"/>
          <w:highlight w:val="none"/>
        </w:rPr>
        <w:t>35．重新评审</w:t>
      </w:r>
    </w:p>
    <w:p w14:paraId="61C4AE8A">
      <w:pPr>
        <w:widowControl/>
        <w:adjustRightInd w:val="0"/>
        <w:snapToGrid w:val="0"/>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6BDFF481">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36.保密及串通行为</w:t>
      </w:r>
    </w:p>
    <w:p w14:paraId="595B198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36.1磋商小组成员以及与评审工作有关的人员不得泄露评审情况以及评审过程中获悉的国家秘密、商业秘密。</w:t>
      </w:r>
    </w:p>
    <w:p w14:paraId="27EA661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36.2</w:t>
      </w:r>
      <w:r>
        <w:rPr>
          <w:rFonts w:hint="eastAsia" w:ascii="宋体" w:hAnsi="宋体" w:cs="宋体"/>
          <w:color w:val="auto"/>
          <w:kern w:val="0"/>
          <w:highlight w:val="none"/>
        </w:rPr>
        <w:t>供应商</w:t>
      </w:r>
      <w:r>
        <w:rPr>
          <w:rFonts w:hint="eastAsia" w:ascii="宋体" w:hAnsi="宋体" w:cs="宋体"/>
          <w:color w:val="auto"/>
          <w:highlight w:val="none"/>
        </w:rPr>
        <w:t>不得与</w:t>
      </w:r>
      <w:r>
        <w:rPr>
          <w:rFonts w:hint="eastAsia" w:ascii="宋体" w:hAnsi="宋体" w:cs="宋体"/>
          <w:color w:val="auto"/>
          <w:kern w:val="0"/>
          <w:highlight w:val="none"/>
        </w:rPr>
        <w:t>采购人、采购代理机构、其他供应商恶意</w:t>
      </w:r>
      <w:r>
        <w:rPr>
          <w:rFonts w:hint="eastAsia" w:ascii="宋体" w:hAnsi="宋体" w:cs="宋体"/>
          <w:color w:val="auto"/>
          <w:highlight w:val="none"/>
        </w:rPr>
        <w:t>串通；不得向</w:t>
      </w:r>
      <w:r>
        <w:rPr>
          <w:rFonts w:hint="eastAsia" w:ascii="宋体" w:hAnsi="宋体" w:cs="宋体"/>
          <w:color w:val="auto"/>
          <w:kern w:val="0"/>
          <w:highlight w:val="none"/>
        </w:rPr>
        <w:t>采购人、采购代理机构</w:t>
      </w:r>
      <w:r>
        <w:rPr>
          <w:rFonts w:hint="eastAsia" w:ascii="宋体" w:hAnsi="宋体" w:cs="宋体"/>
          <w:color w:val="auto"/>
          <w:highlight w:val="none"/>
        </w:rPr>
        <w:t>或者磋商小组成员行贿或者提供其他不正当利益；不得提供虚假资料谋取成交；不得以任何方式干扰、影响采购工作。</w:t>
      </w:r>
    </w:p>
    <w:p w14:paraId="23845C20">
      <w:pPr>
        <w:pStyle w:val="17"/>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rPr>
        <w:t>36.3</w:t>
      </w:r>
      <w:r>
        <w:rPr>
          <w:rFonts w:hint="eastAsia"/>
          <w:color w:val="auto"/>
          <w:sz w:val="21"/>
          <w:szCs w:val="21"/>
          <w:highlight w:val="none"/>
          <w:lang w:val="zh-CN"/>
        </w:rPr>
        <w:t>有下列情形之一的，属于恶意串通，对供应商依照政府采购法第七十七条第一款的规定追究法律责任：</w:t>
      </w:r>
    </w:p>
    <w:p w14:paraId="57F4C195">
      <w:pPr>
        <w:pStyle w:val="17"/>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（一）供应商直接或者间接从采购人或者采购代理机构处获得其他供应商的相关情况并修改其投标文件或者响应文件；</w:t>
      </w:r>
    </w:p>
    <w:p w14:paraId="7C9FBAC4">
      <w:pPr>
        <w:pStyle w:val="17"/>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（二）供应商按照采购人或者采购代理机构的授意撤换、修改投标文件或者响应文件；</w:t>
      </w:r>
    </w:p>
    <w:p w14:paraId="54B20ECB">
      <w:pPr>
        <w:pStyle w:val="17"/>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（三）供应商之间协商报价、技术方案等投标文件或者响应文件的实质性内容；</w:t>
      </w:r>
    </w:p>
    <w:p w14:paraId="482B301D">
      <w:pPr>
        <w:pStyle w:val="17"/>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（四）属于同一集团、协会、商会等组织成员的供应商按照该组织要求协同参加政府采购活动；</w:t>
      </w:r>
    </w:p>
    <w:p w14:paraId="48798FD7">
      <w:pPr>
        <w:pStyle w:val="17"/>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（五）供应商之间事先约定由某一特定供应商中标、成交；</w:t>
      </w:r>
    </w:p>
    <w:p w14:paraId="631C0FCF">
      <w:pPr>
        <w:pStyle w:val="17"/>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（六）供应商之间商定部分供应商放弃参加政府采购活动或者放弃中标、成交；</w:t>
      </w:r>
    </w:p>
    <w:p w14:paraId="2D8B68AB">
      <w:pPr>
        <w:pStyle w:val="17"/>
        <w:adjustRightInd w:val="0"/>
        <w:snapToGrid w:val="0"/>
        <w:spacing w:before="0" w:beforeAutospacing="0" w:after="0" w:afterAutospacing="0" w:line="360" w:lineRule="auto"/>
        <w:ind w:firstLine="420" w:firstLineChars="200"/>
        <w:rPr>
          <w:color w:val="auto"/>
          <w:sz w:val="21"/>
          <w:szCs w:val="21"/>
          <w:highlight w:val="none"/>
          <w:lang w:val="zh-CN"/>
        </w:rPr>
      </w:pPr>
      <w:r>
        <w:rPr>
          <w:rFonts w:hint="eastAsia"/>
          <w:color w:val="auto"/>
          <w:sz w:val="21"/>
          <w:szCs w:val="21"/>
          <w:highlight w:val="none"/>
          <w:lang w:val="zh-CN"/>
        </w:rPr>
        <w:t>（七）供应商与采购人或者采购代理机构之间、供应商相互之间，为谋求特定供应商中标、成交或者排斥其他供应商的其他串通行为。</w:t>
      </w:r>
    </w:p>
    <w:p w14:paraId="48B33E57">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六、成交结果信息公布与授予合同</w:t>
      </w:r>
    </w:p>
    <w:p w14:paraId="1513F9DB">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37.成交信息的公布</w:t>
      </w:r>
    </w:p>
    <w:p w14:paraId="13BDD1EE">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37.1成交供应商确定后2个工作日内，成交结果信息将在</w:t>
      </w:r>
      <w:r>
        <w:rPr>
          <w:rFonts w:hint="eastAsia" w:hAnsi="宋体"/>
          <w:b/>
          <w:bCs/>
          <w:color w:val="auto"/>
          <w:highlight w:val="none"/>
        </w:rPr>
        <w:t>磋商须知前附表</w:t>
      </w:r>
      <w:r>
        <w:rPr>
          <w:rFonts w:hint="eastAsia" w:hAnsi="宋体"/>
          <w:color w:val="auto"/>
          <w:highlight w:val="none"/>
        </w:rPr>
        <w:t>指定的媒体上公布。</w:t>
      </w:r>
    </w:p>
    <w:p w14:paraId="2893DA92">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38.询问及质疑</w:t>
      </w:r>
    </w:p>
    <w:p w14:paraId="52C7D8C1">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38.1供应商对政府采购活动事项有疑问的，可以向采购人或采购代理机构提出询问。</w:t>
      </w:r>
    </w:p>
    <w:p w14:paraId="7C181D76">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38.2供应商若认为磋商文件、采购过程和成交结果使自己的权益受到损害，可以按法律、行政法规及湖南省财政厅规范性文件规定向采购人或采购代理机构提出质疑。</w:t>
      </w:r>
    </w:p>
    <w:p w14:paraId="1877D4F9">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39.成交通知</w:t>
      </w:r>
    </w:p>
    <w:p w14:paraId="3FDB059E">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39.1成交供应商确定后，采购人或采购代理机构将以书面形式向成交供应商发出成交通知书。成交通知书对采购人和成交供应商具有同等法律效力。</w:t>
      </w:r>
    </w:p>
    <w:p w14:paraId="342A32F6">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39.2 成交通知书是合同文件的组成部分。</w:t>
      </w:r>
    </w:p>
    <w:p w14:paraId="6E4F954F">
      <w:pPr>
        <w:tabs>
          <w:tab w:val="left" w:pos="7560"/>
          <w:tab w:val="left" w:pos="7740"/>
          <w:tab w:val="left" w:pos="7920"/>
        </w:tabs>
        <w:autoSpaceDN w:val="0"/>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kern w:val="0"/>
          <w:highlight w:val="none"/>
        </w:rPr>
        <w:t xml:space="preserve">39.3 </w:t>
      </w:r>
      <w:r>
        <w:rPr>
          <w:rFonts w:hint="eastAsia" w:ascii="宋体" w:hAnsi="宋体" w:cs="宋体"/>
          <w:color w:val="auto"/>
          <w:highlight w:val="none"/>
        </w:rPr>
        <w:t>成交供应商在收到采购代理机构的成交通知书后10日内，应按照</w:t>
      </w:r>
      <w:r>
        <w:rPr>
          <w:rFonts w:hint="eastAsia" w:ascii="宋体" w:hAnsi="宋体" w:cs="宋体"/>
          <w:b/>
          <w:bCs/>
          <w:color w:val="auto"/>
          <w:highlight w:val="none"/>
        </w:rPr>
        <w:t>磋商须知前附表</w:t>
      </w:r>
      <w:r>
        <w:rPr>
          <w:rFonts w:hint="eastAsia" w:ascii="宋体" w:hAnsi="宋体" w:cs="宋体"/>
          <w:color w:val="auto"/>
          <w:highlight w:val="none"/>
        </w:rPr>
        <w:t>的规定，向采购人提交履约担保。联合体成交的，履约担保由联合体各方或联合体中牵头人的名义提交。</w:t>
      </w:r>
    </w:p>
    <w:p w14:paraId="479A6749">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39.4 成交供应商</w:t>
      </w:r>
      <w:r>
        <w:rPr>
          <w:rFonts w:hint="eastAsia" w:hAnsi="宋体"/>
          <w:color w:val="auto"/>
          <w:spacing w:val="4"/>
          <w:highlight w:val="none"/>
        </w:rPr>
        <w:t>没有按照本章第39.3</w:t>
      </w:r>
      <w:r>
        <w:rPr>
          <w:rFonts w:hint="eastAsia" w:hAnsi="宋体"/>
          <w:color w:val="auto"/>
          <w:kern w:val="0"/>
          <w:highlight w:val="none"/>
          <w:lang w:val="zh-CN"/>
        </w:rPr>
        <w:t>款</w:t>
      </w:r>
      <w:r>
        <w:rPr>
          <w:rFonts w:hint="eastAsia" w:hAnsi="宋体"/>
          <w:color w:val="auto"/>
          <w:spacing w:val="4"/>
          <w:highlight w:val="none"/>
        </w:rPr>
        <w:t>规定</w:t>
      </w:r>
      <w:r>
        <w:rPr>
          <w:rFonts w:hint="eastAsia" w:hAnsi="宋体"/>
          <w:color w:val="auto"/>
          <w:highlight w:val="none"/>
        </w:rPr>
        <w:t>提交履约担保的</w:t>
      </w:r>
      <w:r>
        <w:rPr>
          <w:rFonts w:hint="eastAsia" w:hAnsi="宋体"/>
          <w:color w:val="auto"/>
          <w:spacing w:val="4"/>
          <w:highlight w:val="none"/>
        </w:rPr>
        <w:t>，视为放弃</w:t>
      </w:r>
      <w:r>
        <w:rPr>
          <w:rFonts w:hint="eastAsia" w:hAnsi="宋体"/>
          <w:color w:val="auto"/>
          <w:highlight w:val="none"/>
        </w:rPr>
        <w:t>成交资格</w:t>
      </w:r>
      <w:r>
        <w:rPr>
          <w:rFonts w:hint="eastAsia" w:hAnsi="宋体"/>
          <w:color w:val="auto"/>
          <w:spacing w:val="4"/>
          <w:highlight w:val="none"/>
        </w:rPr>
        <w:t>，</w:t>
      </w:r>
      <w:r>
        <w:rPr>
          <w:rFonts w:hint="eastAsia" w:hAnsi="宋体"/>
          <w:color w:val="auto"/>
          <w:spacing w:val="2"/>
          <w:highlight w:val="none"/>
        </w:rPr>
        <w:t>其保证金不予退还。</w:t>
      </w:r>
    </w:p>
    <w:p w14:paraId="3B12FC00">
      <w:pPr>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40.签订合同</w:t>
      </w:r>
    </w:p>
    <w:p w14:paraId="3A815FC7">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40.1成交供应商应当在成交通知书发出之日起30日内与采购人签订政府采购合同。</w:t>
      </w:r>
    </w:p>
    <w:p w14:paraId="60C3F172">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40.2磋商文件、成交供应商的响应文件等均为签订政府采购合同的依据。</w:t>
      </w:r>
    </w:p>
    <w:p w14:paraId="4B0DE49E">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40.3 成交供应商应当按照合同约定履行义务。成交供应商不得向他人转让成交项目，也不得将成交项目分包后分别向他人转让。</w:t>
      </w:r>
    </w:p>
    <w:p w14:paraId="7A91BCE6">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40.4 成交供应商有下列情形之一的，责令限期改正，情节严重的，列入不良行为记录名单，在1至3年内禁止参加政府采购活动，并予以通报：</w:t>
      </w:r>
    </w:p>
    <w:p w14:paraId="26B1F9FD">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（一）成交后无正当理由不与采购人签订合同的；</w:t>
      </w:r>
    </w:p>
    <w:p w14:paraId="5ED0C25D">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（二）未按照采购文件确定的事项签订政府采购合同，或者与采购人另行订立背离合同实质性内容的协议的；</w:t>
      </w:r>
    </w:p>
    <w:p w14:paraId="769055B9">
      <w:pPr>
        <w:pStyle w:val="11"/>
        <w:adjustRightInd w:val="0"/>
        <w:snapToGrid w:val="0"/>
        <w:spacing w:line="360" w:lineRule="auto"/>
        <w:ind w:firstLine="420" w:firstLineChars="200"/>
        <w:rPr>
          <w:rFonts w:hAnsi="宋体"/>
          <w:color w:val="auto"/>
          <w:highlight w:val="none"/>
        </w:rPr>
      </w:pPr>
      <w:r>
        <w:rPr>
          <w:rFonts w:hint="eastAsia" w:hAnsi="宋体"/>
          <w:color w:val="auto"/>
          <w:highlight w:val="none"/>
        </w:rPr>
        <w:t>（三）拒绝履行合同义务的；</w:t>
      </w:r>
    </w:p>
    <w:p w14:paraId="4079D0AA">
      <w:pPr>
        <w:pStyle w:val="11"/>
        <w:adjustRightInd w:val="0"/>
        <w:snapToGrid w:val="0"/>
        <w:spacing w:line="360" w:lineRule="auto"/>
        <w:ind w:firstLine="420" w:firstLineChars="200"/>
        <w:rPr>
          <w:rFonts w:hAnsi="宋体"/>
          <w:color w:val="auto"/>
          <w:kern w:val="0"/>
          <w:highlight w:val="none"/>
        </w:rPr>
      </w:pPr>
      <w:r>
        <w:rPr>
          <w:rFonts w:hint="eastAsia" w:hAnsi="宋体"/>
          <w:color w:val="auto"/>
          <w:highlight w:val="none"/>
        </w:rPr>
        <w:t>（四）</w:t>
      </w:r>
      <w:r>
        <w:rPr>
          <w:rFonts w:hint="eastAsia" w:hAnsi="宋体"/>
          <w:color w:val="auto"/>
          <w:kern w:val="0"/>
          <w:highlight w:val="none"/>
        </w:rPr>
        <w:t>违反法律、规章、规范性文件规定的。</w:t>
      </w:r>
    </w:p>
    <w:p w14:paraId="3634CCA8">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七、其他规定</w:t>
      </w:r>
    </w:p>
    <w:p w14:paraId="6C1B2B48">
      <w:pPr>
        <w:adjustRightInd w:val="0"/>
        <w:snapToGrid w:val="0"/>
        <w:spacing w:line="360" w:lineRule="auto"/>
        <w:jc w:val="left"/>
        <w:rPr>
          <w:rFonts w:ascii="宋体" w:hAnsi="宋体" w:cs="宋体"/>
          <w:b/>
          <w:bCs/>
          <w:color w:val="auto"/>
          <w:highlight w:val="none"/>
        </w:rPr>
      </w:pPr>
      <w:r>
        <w:rPr>
          <w:rFonts w:hint="eastAsia" w:ascii="宋体" w:hAnsi="宋体" w:cs="宋体"/>
          <w:b/>
          <w:bCs/>
          <w:color w:val="auto"/>
          <w:highlight w:val="none"/>
        </w:rPr>
        <w:t>41.1采购代理服务费</w:t>
      </w:r>
    </w:p>
    <w:p w14:paraId="2E5B86E9">
      <w:pPr>
        <w:tabs>
          <w:tab w:val="left" w:pos="420"/>
          <w:tab w:val="left" w:pos="7560"/>
          <w:tab w:val="left" w:pos="7740"/>
          <w:tab w:val="left" w:pos="792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41.1采购代理机构应按</w:t>
      </w:r>
      <w:r>
        <w:rPr>
          <w:rFonts w:hint="eastAsia" w:ascii="宋体" w:hAnsi="宋体" w:cs="宋体"/>
          <w:b/>
          <w:bCs/>
          <w:color w:val="auto"/>
          <w:highlight w:val="none"/>
        </w:rPr>
        <w:t>磋商须知前附表</w:t>
      </w:r>
      <w:r>
        <w:rPr>
          <w:rFonts w:hint="eastAsia" w:ascii="宋体" w:hAnsi="宋体" w:cs="宋体"/>
          <w:color w:val="auto"/>
          <w:highlight w:val="none"/>
        </w:rPr>
        <w:t>规定收取采购代理服务费。</w:t>
      </w:r>
    </w:p>
    <w:p w14:paraId="22A340DE">
      <w:pPr>
        <w:tabs>
          <w:tab w:val="left" w:pos="420"/>
          <w:tab w:val="left" w:pos="7560"/>
          <w:tab w:val="left" w:pos="7740"/>
          <w:tab w:val="left" w:pos="7920"/>
        </w:tabs>
        <w:adjustRightInd w:val="0"/>
        <w:snapToGrid w:val="0"/>
        <w:spacing w:line="360" w:lineRule="auto"/>
        <w:rPr>
          <w:rFonts w:ascii="宋体" w:hAnsi="宋体" w:cs="宋体"/>
          <w:b/>
          <w:bCs/>
          <w:color w:val="auto"/>
          <w:highlight w:val="none"/>
        </w:rPr>
      </w:pPr>
      <w:r>
        <w:rPr>
          <w:rFonts w:hint="eastAsia" w:ascii="宋体" w:hAnsi="宋体" w:cs="宋体"/>
          <w:b/>
          <w:bCs/>
          <w:color w:val="auto"/>
          <w:highlight w:val="none"/>
        </w:rPr>
        <w:t>42.其他规定</w:t>
      </w:r>
    </w:p>
    <w:p w14:paraId="14A43CC3">
      <w:pPr>
        <w:tabs>
          <w:tab w:val="left" w:pos="420"/>
          <w:tab w:val="left" w:pos="7560"/>
          <w:tab w:val="left" w:pos="7740"/>
          <w:tab w:val="left" w:pos="7920"/>
        </w:tabs>
        <w:adjustRightInd w:val="0"/>
        <w:snapToGrid w:val="0"/>
        <w:spacing w:line="360" w:lineRule="auto"/>
        <w:ind w:firstLine="420" w:firstLineChars="200"/>
        <w:rPr>
          <w:rFonts w:ascii="宋体" w:hAnsi="宋体" w:cs="宋体"/>
          <w:b/>
          <w:bCs/>
          <w:color w:val="auto"/>
          <w:sz w:val="32"/>
          <w:szCs w:val="32"/>
          <w:highlight w:val="none"/>
        </w:rPr>
      </w:pPr>
      <w:r>
        <w:rPr>
          <w:rFonts w:hint="eastAsia" w:ascii="宋体" w:hAnsi="宋体" w:cs="宋体"/>
          <w:color w:val="auto"/>
          <w:highlight w:val="none"/>
        </w:rPr>
        <w:t>42.1磋商文件的其他规定见</w:t>
      </w:r>
      <w:r>
        <w:rPr>
          <w:rFonts w:hint="eastAsia" w:ascii="宋体" w:hAnsi="宋体" w:cs="宋体"/>
          <w:b/>
          <w:bCs/>
          <w:color w:val="auto"/>
          <w:highlight w:val="none"/>
        </w:rPr>
        <w:t>磋商须知前附表</w:t>
      </w:r>
      <w:r>
        <w:rPr>
          <w:rFonts w:hint="eastAsia" w:ascii="宋体" w:hAnsi="宋体" w:cs="宋体"/>
          <w:color w:val="auto"/>
          <w:highlight w:val="none"/>
        </w:rPr>
        <w:t>。</w:t>
      </w:r>
    </w:p>
    <w:p w14:paraId="68E403F1">
      <w:pPr>
        <w:adjustRightInd w:val="0"/>
        <w:snapToGrid w:val="0"/>
        <w:spacing w:beforeLines="50" w:line="360" w:lineRule="auto"/>
        <w:jc w:val="center"/>
        <w:rPr>
          <w:rFonts w:ascii="宋体" w:hAnsi="宋体" w:cs="宋体"/>
          <w:b/>
          <w:bCs/>
          <w:color w:val="auto"/>
          <w:sz w:val="32"/>
          <w:szCs w:val="32"/>
          <w:highlight w:val="none"/>
        </w:rPr>
      </w:pPr>
    </w:p>
    <w:p w14:paraId="602CBA12">
      <w:pPr>
        <w:pStyle w:val="35"/>
        <w:rPr>
          <w:rFonts w:ascii="宋体" w:hAnsi="宋体" w:eastAsia="宋体" w:cs="宋体"/>
          <w:color w:val="auto"/>
          <w:highlight w:val="none"/>
        </w:rPr>
      </w:pPr>
    </w:p>
    <w:p w14:paraId="63027454">
      <w:pPr>
        <w:pStyle w:val="35"/>
        <w:rPr>
          <w:rFonts w:ascii="宋体" w:hAnsi="宋体" w:eastAsia="宋体" w:cs="宋体"/>
          <w:color w:val="auto"/>
          <w:highlight w:val="none"/>
        </w:rPr>
      </w:pPr>
    </w:p>
    <w:p w14:paraId="7EFA62A8">
      <w:pPr>
        <w:pStyle w:val="35"/>
        <w:rPr>
          <w:rFonts w:ascii="宋体" w:hAnsi="宋体" w:eastAsia="宋体" w:cs="宋体"/>
          <w:color w:val="auto"/>
          <w:highlight w:val="none"/>
        </w:rPr>
      </w:pPr>
    </w:p>
    <w:p w14:paraId="4CFB3059">
      <w:pPr>
        <w:pStyle w:val="35"/>
        <w:rPr>
          <w:rFonts w:ascii="宋体" w:hAnsi="宋体" w:eastAsia="宋体" w:cs="宋体"/>
          <w:color w:val="auto"/>
          <w:highlight w:val="none"/>
        </w:rPr>
      </w:pPr>
    </w:p>
    <w:p w14:paraId="629675F0">
      <w:pPr>
        <w:pStyle w:val="35"/>
        <w:rPr>
          <w:rFonts w:ascii="宋体" w:hAnsi="宋体" w:eastAsia="宋体" w:cs="宋体"/>
          <w:color w:val="auto"/>
          <w:highlight w:val="none"/>
        </w:rPr>
      </w:pPr>
    </w:p>
    <w:p w14:paraId="527B863D">
      <w:pPr>
        <w:pStyle w:val="35"/>
        <w:rPr>
          <w:rFonts w:ascii="宋体" w:hAnsi="宋体" w:eastAsia="宋体" w:cs="宋体"/>
          <w:color w:val="auto"/>
          <w:highlight w:val="none"/>
        </w:rPr>
      </w:pPr>
    </w:p>
    <w:p w14:paraId="09E3666B">
      <w:pPr>
        <w:pStyle w:val="35"/>
        <w:rPr>
          <w:rFonts w:ascii="宋体" w:hAnsi="宋体" w:eastAsia="宋体" w:cs="宋体"/>
          <w:color w:val="auto"/>
          <w:highlight w:val="none"/>
        </w:rPr>
      </w:pPr>
    </w:p>
    <w:p w14:paraId="639318C1">
      <w:pPr>
        <w:pStyle w:val="35"/>
        <w:rPr>
          <w:rFonts w:ascii="宋体" w:hAnsi="宋体" w:eastAsia="宋体" w:cs="宋体"/>
          <w:color w:val="auto"/>
          <w:highlight w:val="none"/>
        </w:rPr>
      </w:pPr>
    </w:p>
    <w:p w14:paraId="26C4A82A">
      <w:pPr>
        <w:pStyle w:val="35"/>
        <w:rPr>
          <w:rFonts w:ascii="宋体" w:hAnsi="宋体" w:eastAsia="宋体" w:cs="宋体"/>
          <w:color w:val="auto"/>
          <w:highlight w:val="none"/>
        </w:rPr>
      </w:pPr>
    </w:p>
    <w:p w14:paraId="50EC04A2">
      <w:pPr>
        <w:pStyle w:val="35"/>
        <w:rPr>
          <w:rFonts w:ascii="宋体" w:hAnsi="宋体" w:eastAsia="宋体" w:cs="宋体"/>
          <w:color w:val="auto"/>
          <w:highlight w:val="none"/>
        </w:rPr>
      </w:pPr>
    </w:p>
    <w:p w14:paraId="3BE68178">
      <w:pPr>
        <w:pStyle w:val="35"/>
        <w:rPr>
          <w:rFonts w:ascii="宋体" w:hAnsi="宋体" w:eastAsia="宋体" w:cs="宋体"/>
          <w:color w:val="auto"/>
          <w:highlight w:val="none"/>
        </w:rPr>
      </w:pPr>
    </w:p>
    <w:p w14:paraId="10CC492D">
      <w:pPr>
        <w:pStyle w:val="35"/>
        <w:rPr>
          <w:rFonts w:ascii="宋体" w:hAnsi="宋体" w:eastAsia="宋体" w:cs="宋体"/>
          <w:color w:val="auto"/>
          <w:highlight w:val="none"/>
        </w:rPr>
      </w:pPr>
    </w:p>
    <w:p w14:paraId="3D7BE566">
      <w:pPr>
        <w:pStyle w:val="35"/>
        <w:rPr>
          <w:rFonts w:ascii="宋体" w:hAnsi="宋体" w:eastAsia="宋体" w:cs="宋体"/>
          <w:color w:val="auto"/>
          <w:highlight w:val="none"/>
        </w:rPr>
      </w:pPr>
    </w:p>
    <w:p w14:paraId="44D1799A">
      <w:pPr>
        <w:pStyle w:val="35"/>
        <w:rPr>
          <w:rFonts w:ascii="宋体" w:hAnsi="宋体" w:eastAsia="宋体" w:cs="宋体"/>
          <w:color w:val="auto"/>
          <w:highlight w:val="none"/>
        </w:rPr>
      </w:pPr>
    </w:p>
    <w:p w14:paraId="553C9151">
      <w:pPr>
        <w:pStyle w:val="35"/>
        <w:rPr>
          <w:rFonts w:ascii="宋体" w:hAnsi="宋体" w:eastAsia="宋体" w:cs="宋体"/>
          <w:color w:val="auto"/>
          <w:highlight w:val="none"/>
        </w:rPr>
      </w:pPr>
    </w:p>
    <w:p w14:paraId="00A17BBC">
      <w:pPr>
        <w:pStyle w:val="35"/>
        <w:rPr>
          <w:rFonts w:ascii="宋体" w:hAnsi="宋体" w:eastAsia="宋体" w:cs="宋体"/>
          <w:color w:val="auto"/>
          <w:highlight w:val="none"/>
        </w:rPr>
      </w:pPr>
    </w:p>
    <w:p w14:paraId="7A644AE0">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第三章  政府采购合同格式</w:t>
      </w:r>
    </w:p>
    <w:p w14:paraId="5EBF27AF">
      <w:pPr>
        <w:tabs>
          <w:tab w:val="left" w:pos="8820"/>
          <w:tab w:val="left" w:pos="9345"/>
          <w:tab w:val="left" w:pos="9765"/>
        </w:tabs>
        <w:adjustRightInd w:val="0"/>
        <w:snapToGrid w:val="0"/>
        <w:spacing w:beforeLines="50" w:line="360" w:lineRule="auto"/>
        <w:ind w:right="384" w:rightChars="183" w:firstLine="3000" w:firstLineChars="1000"/>
        <w:rPr>
          <w:rFonts w:ascii="宋体" w:hAnsi="宋体" w:cs="宋体"/>
          <w:color w:val="auto"/>
          <w:sz w:val="30"/>
          <w:szCs w:val="30"/>
          <w:highlight w:val="none"/>
        </w:rPr>
      </w:pPr>
      <w:r>
        <w:rPr>
          <w:rFonts w:hint="eastAsia" w:ascii="宋体" w:hAnsi="宋体" w:cs="宋体"/>
          <w:color w:val="auto"/>
          <w:sz w:val="30"/>
          <w:szCs w:val="30"/>
          <w:highlight w:val="none"/>
        </w:rPr>
        <w:t>一．政府采购合同协议书</w:t>
      </w:r>
    </w:p>
    <w:p w14:paraId="057CE816">
      <w:pPr>
        <w:jc w:val="center"/>
        <w:rPr>
          <w:rFonts w:ascii="宋体" w:hAnsi="宋体" w:cs="宋体"/>
          <w:b/>
          <w:bCs/>
          <w:color w:val="auto"/>
          <w:sz w:val="36"/>
          <w:szCs w:val="36"/>
          <w:highlight w:val="none"/>
        </w:rPr>
      </w:pPr>
    </w:p>
    <w:p w14:paraId="762E148F">
      <w:pPr>
        <w:ind w:firstLine="5280" w:firstLineChars="2200"/>
        <w:rPr>
          <w:rFonts w:ascii="宋体" w:hAnsi="宋体" w:cs="宋体"/>
          <w:b/>
          <w:bCs/>
          <w:color w:val="auto"/>
          <w:sz w:val="32"/>
          <w:szCs w:val="32"/>
          <w:highlight w:val="none"/>
        </w:rPr>
      </w:pPr>
      <w:r>
        <w:rPr>
          <w:rFonts w:hint="eastAsia" w:ascii="宋体" w:hAnsi="宋体" w:cs="宋体"/>
          <w:color w:val="auto"/>
          <w:sz w:val="24"/>
          <w:szCs w:val="24"/>
          <w:highlight w:val="none"/>
        </w:rPr>
        <w:t>采购合同编号：</w:t>
      </w:r>
    </w:p>
    <w:p w14:paraId="60D3E64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采购人（全称）：（甲方）</w:t>
      </w:r>
    </w:p>
    <w:p w14:paraId="5FBE2856">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供应商（全称）：（乙方）</w:t>
      </w:r>
    </w:p>
    <w:p w14:paraId="5EBF0BA9">
      <w:pPr>
        <w:pStyle w:val="8"/>
        <w:adjustRightInd w:val="0"/>
        <w:snapToGrid w:val="0"/>
        <w:spacing w:after="0" w:line="360" w:lineRule="auto"/>
        <w:rPr>
          <w:rFonts w:ascii="宋体" w:hAnsi="宋体" w:cs="宋体"/>
          <w:color w:val="auto"/>
          <w:highlight w:val="none"/>
        </w:rPr>
      </w:pPr>
    </w:p>
    <w:p w14:paraId="2CD47C11">
      <w:pPr>
        <w:pStyle w:val="8"/>
        <w:adjustRightInd w:val="0"/>
        <w:snapToGrid w:val="0"/>
        <w:spacing w:after="0" w:line="360" w:lineRule="auto"/>
        <w:ind w:left="0" w:leftChars="0" w:firstLine="420" w:firstLineChars="200"/>
        <w:rPr>
          <w:rFonts w:ascii="宋体" w:hAnsi="宋体" w:cs="宋体"/>
          <w:color w:val="auto"/>
          <w:highlight w:val="none"/>
        </w:rPr>
      </w:pPr>
      <w:r>
        <w:rPr>
          <w:rFonts w:hint="eastAsia" w:ascii="宋体" w:hAnsi="宋体" w:cs="宋体"/>
          <w:color w:val="auto"/>
          <w:highlight w:val="none"/>
        </w:rPr>
        <w:t>为了保护甲、乙双方合法权益，根据《中华人民共和国民法典》、《中华人民共和国政府采购法》及其他有关法律、法规、规章，双方签订本合同协议书。</w:t>
      </w:r>
    </w:p>
    <w:p w14:paraId="01DAEAD2">
      <w:pPr>
        <w:adjustRightInd w:val="0"/>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1.项目信息</w:t>
      </w:r>
    </w:p>
    <w:p w14:paraId="1251230C">
      <w:pPr>
        <w:pStyle w:val="8"/>
        <w:adjustRightInd w:val="0"/>
        <w:snapToGrid w:val="0"/>
        <w:spacing w:after="0" w:line="360" w:lineRule="auto"/>
        <w:rPr>
          <w:rFonts w:ascii="宋体" w:hAnsi="宋体" w:cs="宋体"/>
          <w:color w:val="auto"/>
          <w:highlight w:val="none"/>
        </w:rPr>
      </w:pPr>
      <w:r>
        <w:rPr>
          <w:rFonts w:hint="eastAsia" w:ascii="宋体" w:hAnsi="宋体" w:cs="宋体"/>
          <w:color w:val="auto"/>
          <w:highlight w:val="none"/>
        </w:rPr>
        <w:t>（1）采购项目名称：</w:t>
      </w:r>
    </w:p>
    <w:p w14:paraId="485151DB">
      <w:pPr>
        <w:pStyle w:val="8"/>
        <w:adjustRightInd w:val="0"/>
        <w:snapToGrid w:val="0"/>
        <w:spacing w:after="0" w:line="360" w:lineRule="auto"/>
        <w:rPr>
          <w:rFonts w:ascii="宋体" w:hAnsi="宋体" w:cs="宋体"/>
          <w:color w:val="auto"/>
          <w:highlight w:val="none"/>
        </w:rPr>
      </w:pPr>
      <w:r>
        <w:rPr>
          <w:rFonts w:hint="eastAsia" w:ascii="宋体" w:hAnsi="宋体" w:cs="宋体"/>
          <w:color w:val="auto"/>
          <w:highlight w:val="none"/>
        </w:rPr>
        <w:t>（2）采购计划编号：</w:t>
      </w:r>
    </w:p>
    <w:p w14:paraId="68AA90A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（3）项目内容：</w:t>
      </w:r>
    </w:p>
    <w:p w14:paraId="01CE6DC9">
      <w:pPr>
        <w:adjustRightInd w:val="0"/>
        <w:snapToGrid w:val="0"/>
        <w:spacing w:line="360" w:lineRule="auto"/>
        <w:ind w:firstLine="413" w:firstLineChars="196"/>
        <w:rPr>
          <w:rFonts w:ascii="宋体" w:hAnsi="宋体" w:cs="宋体"/>
          <w:b/>
          <w:bCs/>
          <w:color w:val="auto"/>
          <w:highlight w:val="none"/>
        </w:rPr>
      </w:pPr>
      <w:r>
        <w:rPr>
          <w:rFonts w:hint="eastAsia" w:ascii="宋体" w:hAnsi="宋体" w:cs="宋体"/>
          <w:b/>
          <w:bCs/>
          <w:color w:val="auto"/>
          <w:highlight w:val="none"/>
        </w:rPr>
        <w:t>2.合同金额</w:t>
      </w:r>
    </w:p>
    <w:p w14:paraId="6FD2300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（1）合同金额小写：</w:t>
      </w:r>
    </w:p>
    <w:p w14:paraId="1CBED5AE">
      <w:pPr>
        <w:adjustRightInd w:val="0"/>
        <w:snapToGrid w:val="0"/>
        <w:spacing w:line="360" w:lineRule="auto"/>
        <w:ind w:firstLine="1260" w:firstLineChars="600"/>
        <w:rPr>
          <w:rFonts w:ascii="宋体" w:hAnsi="宋体" w:cs="宋体"/>
          <w:b/>
          <w:bCs/>
          <w:color w:val="auto"/>
          <w:highlight w:val="none"/>
        </w:rPr>
      </w:pPr>
      <w:r>
        <w:rPr>
          <w:rFonts w:hint="eastAsia" w:ascii="宋体" w:hAnsi="宋体" w:cs="宋体"/>
          <w:color w:val="auto"/>
          <w:highlight w:val="none"/>
        </w:rPr>
        <w:t>大写：</w:t>
      </w:r>
    </w:p>
    <w:p w14:paraId="4B90ECF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（2）具体标的见附件。</w:t>
      </w:r>
    </w:p>
    <w:p w14:paraId="62099B18">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（3）合同价格形式：</w:t>
      </w:r>
      <w:r>
        <w:rPr>
          <w:rFonts w:hint="eastAsia" w:ascii="宋体" w:hAnsi="宋体" w:cs="宋体"/>
          <w:color w:val="auto"/>
          <w:highlight w:val="none"/>
          <w:u w:val="single"/>
        </w:rPr>
        <w:t>固定总价合同</w:t>
      </w:r>
      <w:r>
        <w:rPr>
          <w:rFonts w:hint="eastAsia" w:ascii="宋体" w:hAnsi="宋体" w:cs="宋体"/>
          <w:color w:val="auto"/>
          <w:highlight w:val="none"/>
        </w:rPr>
        <w:t>。</w:t>
      </w:r>
    </w:p>
    <w:p w14:paraId="57126CEA">
      <w:pPr>
        <w:adjustRightInd w:val="0"/>
        <w:snapToGrid w:val="0"/>
        <w:spacing w:line="360" w:lineRule="auto"/>
        <w:ind w:firstLine="422" w:firstLineChars="200"/>
        <w:rPr>
          <w:rFonts w:ascii="宋体" w:hAnsi="宋体" w:cs="宋体"/>
          <w:color w:val="auto"/>
          <w:highlight w:val="none"/>
          <w:u w:val="single"/>
        </w:rPr>
      </w:pPr>
      <w:r>
        <w:rPr>
          <w:rFonts w:hint="eastAsia" w:ascii="宋体" w:hAnsi="宋体" w:cs="宋体"/>
          <w:b/>
          <w:bCs/>
          <w:color w:val="auto"/>
          <w:highlight w:val="none"/>
        </w:rPr>
        <w:t>3.履行合同的时间、地点及方式</w:t>
      </w:r>
    </w:p>
    <w:p w14:paraId="1C9FF050">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起始日期：年月日，完成日期：年月日。总日历天数：天。</w:t>
      </w:r>
    </w:p>
    <w:p w14:paraId="70665718">
      <w:pPr>
        <w:adjustRightInd w:val="0"/>
        <w:snapToGrid w:val="0"/>
        <w:spacing w:line="360" w:lineRule="auto"/>
        <w:ind w:firstLine="630" w:firstLineChars="300"/>
        <w:rPr>
          <w:rFonts w:ascii="宋体" w:hAnsi="宋体" w:cs="宋体"/>
          <w:color w:val="auto"/>
          <w:highlight w:val="none"/>
          <w:u w:val="single"/>
        </w:rPr>
      </w:pPr>
      <w:r>
        <w:rPr>
          <w:rFonts w:hint="eastAsia" w:ascii="宋体" w:hAnsi="宋体" w:cs="宋体"/>
          <w:color w:val="auto"/>
          <w:highlight w:val="none"/>
        </w:rPr>
        <w:t>地点</w:t>
      </w:r>
      <w:r>
        <w:rPr>
          <w:rFonts w:hint="eastAsia" w:ascii="宋体" w:hAnsi="宋体" w:cs="宋体"/>
          <w:b/>
          <w:bCs/>
          <w:color w:val="auto"/>
          <w:highlight w:val="none"/>
        </w:rPr>
        <w:t>：</w:t>
      </w:r>
    </w:p>
    <w:p w14:paraId="1984ADB6">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方式：</w:t>
      </w:r>
    </w:p>
    <w:p w14:paraId="2E23636A">
      <w:pPr>
        <w:adjustRightInd w:val="0"/>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4.付款：</w:t>
      </w:r>
    </w:p>
    <w:p w14:paraId="07F00161">
      <w:pPr>
        <w:ind w:firstLine="630" w:firstLineChars="300"/>
        <w:rPr>
          <w:rFonts w:ascii="宋体" w:hAnsi="宋体" w:cs="宋体"/>
          <w:color w:val="auto"/>
          <w:highlight w:val="none"/>
        </w:rPr>
      </w:pPr>
      <w:r>
        <w:rPr>
          <w:rFonts w:hint="eastAsia" w:ascii="宋体" w:hAnsi="宋体" w:cs="宋体"/>
          <w:color w:val="auto"/>
          <w:highlight w:val="none"/>
        </w:rPr>
        <w:t>1、。</w:t>
      </w:r>
    </w:p>
    <w:p w14:paraId="0242C4A0">
      <w:pPr>
        <w:ind w:firstLine="630" w:firstLineChars="300"/>
        <w:rPr>
          <w:rFonts w:ascii="宋体" w:hAnsi="宋体" w:cs="宋体"/>
          <w:color w:val="auto"/>
          <w:highlight w:val="none"/>
        </w:rPr>
      </w:pPr>
      <w:r>
        <w:rPr>
          <w:rFonts w:hint="eastAsia" w:ascii="宋体" w:hAnsi="宋体" w:cs="宋体"/>
          <w:color w:val="auto"/>
          <w:highlight w:val="none"/>
        </w:rPr>
        <w:t>2、根据采购文件的约定需支付预付款的，须在合同签订前提交不超过合同金额10%的履约担保。</w:t>
      </w:r>
    </w:p>
    <w:p w14:paraId="2E2B4B31">
      <w:pPr>
        <w:adjustRightInd w:val="0"/>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5.解决合同纠纷方式</w:t>
      </w:r>
    </w:p>
    <w:p w14:paraId="51FA50B8">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首先通过双方协商解决，协商解决不成，则通过以下途径之一解决纠纷：</w:t>
      </w:r>
    </w:p>
    <w:p w14:paraId="5EDC364A">
      <w:pPr>
        <w:adjustRightInd w:val="0"/>
        <w:snapToGrid w:val="0"/>
        <w:spacing w:line="360" w:lineRule="auto"/>
        <w:ind w:firstLine="840" w:firstLineChars="400"/>
        <w:rPr>
          <w:rFonts w:ascii="宋体" w:hAnsi="宋体" w:cs="宋体"/>
          <w:color w:val="auto"/>
          <w:highlight w:val="none"/>
        </w:rPr>
      </w:pPr>
      <w:r>
        <w:rPr>
          <w:rFonts w:hint="eastAsia" w:ascii="宋体" w:hAnsi="宋体" w:cs="宋体"/>
          <w:color w:val="auto"/>
          <w:highlight w:val="none"/>
        </w:rPr>
        <w:t>□提请仲裁□向人民法院提起诉讼</w:t>
      </w:r>
    </w:p>
    <w:p w14:paraId="29220BDF">
      <w:pPr>
        <w:adjustRightInd w:val="0"/>
        <w:snapToGrid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6.组成合同的文件</w:t>
      </w:r>
    </w:p>
    <w:p w14:paraId="45412FA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本协议书与下列文件一起构成合同文件，如下述文件之间有任何抵触、矛盾或歧义，应按以下顺序解释：</w:t>
      </w:r>
    </w:p>
    <w:p w14:paraId="457A575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（1）在采购或合同履行过程中乙方作出的承诺以及双方协商达成的变更或补充协议</w:t>
      </w:r>
    </w:p>
    <w:p w14:paraId="7DEF8298">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（2）成交通知书</w:t>
      </w:r>
    </w:p>
    <w:p w14:paraId="12A2BCB2">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（3）响应文件</w:t>
      </w:r>
    </w:p>
    <w:p w14:paraId="16F91E7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（4）政府采购合同格式条款及其附件</w:t>
      </w:r>
    </w:p>
    <w:p w14:paraId="5ACF8D0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（5）专用合同条款</w:t>
      </w:r>
    </w:p>
    <w:p w14:paraId="1A77FF2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（6）通用合同条款（如果有）</w:t>
      </w:r>
    </w:p>
    <w:p w14:paraId="0001655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（7）标准、规范及有关技术文件，图纸，已标价工程量清单或预算书（如果有）</w:t>
      </w:r>
    </w:p>
    <w:p w14:paraId="5541D88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（8）其他合同文件。</w:t>
      </w:r>
    </w:p>
    <w:p w14:paraId="3F1E6A58">
      <w:pPr>
        <w:adjustRightInd w:val="0"/>
        <w:snapToGrid w:val="0"/>
        <w:spacing w:line="360" w:lineRule="auto"/>
        <w:ind w:firstLine="310" w:firstLineChars="147"/>
        <w:rPr>
          <w:rFonts w:ascii="宋体" w:hAnsi="宋体" w:cs="宋体"/>
          <w:b/>
          <w:bCs/>
          <w:color w:val="auto"/>
          <w:highlight w:val="none"/>
        </w:rPr>
      </w:pPr>
      <w:r>
        <w:rPr>
          <w:rFonts w:hint="eastAsia" w:ascii="宋体" w:hAnsi="宋体" w:cs="宋体"/>
          <w:b/>
          <w:bCs/>
          <w:color w:val="auto"/>
          <w:highlight w:val="none"/>
        </w:rPr>
        <w:t>7.合同生效</w:t>
      </w:r>
    </w:p>
    <w:p w14:paraId="284AB79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本合同自生效。</w:t>
      </w:r>
    </w:p>
    <w:p w14:paraId="67932760">
      <w:pPr>
        <w:adjustRightInd w:val="0"/>
        <w:snapToGrid w:val="0"/>
        <w:spacing w:line="360" w:lineRule="auto"/>
        <w:ind w:firstLine="310" w:firstLineChars="147"/>
        <w:rPr>
          <w:rFonts w:ascii="宋体" w:hAnsi="宋体" w:cs="宋体"/>
          <w:b/>
          <w:bCs/>
          <w:color w:val="auto"/>
          <w:highlight w:val="none"/>
        </w:rPr>
      </w:pPr>
      <w:r>
        <w:rPr>
          <w:rFonts w:hint="eastAsia" w:ascii="宋体" w:hAnsi="宋体" w:cs="宋体"/>
          <w:b/>
          <w:bCs/>
          <w:color w:val="auto"/>
          <w:highlight w:val="none"/>
        </w:rPr>
        <w:t>8.合同份数</w:t>
      </w:r>
    </w:p>
    <w:p w14:paraId="34A7C7B6">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本合同一式份，采购人执份、供应商执份、采购代理机构1份，均具有同等法律效力。</w:t>
      </w:r>
    </w:p>
    <w:p w14:paraId="2BBF750D">
      <w:pPr>
        <w:adjustRightInd w:val="0"/>
        <w:snapToGrid w:val="0"/>
        <w:spacing w:line="360" w:lineRule="auto"/>
        <w:rPr>
          <w:rFonts w:ascii="宋体" w:hAnsi="宋体" w:cs="宋体"/>
          <w:color w:val="auto"/>
          <w:highlight w:val="none"/>
        </w:rPr>
      </w:pPr>
    </w:p>
    <w:p w14:paraId="495339F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合同订立时间：年月日</w:t>
      </w:r>
    </w:p>
    <w:p w14:paraId="53B057C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合同订立地点：</w:t>
      </w:r>
    </w:p>
    <w:p w14:paraId="122700A2">
      <w:pPr>
        <w:adjustRightInd w:val="0"/>
        <w:snapToGrid w:val="0"/>
        <w:spacing w:line="360" w:lineRule="auto"/>
        <w:ind w:firstLine="420" w:firstLineChars="200"/>
        <w:rPr>
          <w:rFonts w:ascii="宋体" w:hAnsi="宋体" w:cs="宋体"/>
          <w:color w:val="auto"/>
          <w:highlight w:val="none"/>
        </w:rPr>
      </w:pPr>
    </w:p>
    <w:p w14:paraId="2A84CCD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甲方：（公章）乙方：（公章）</w:t>
      </w:r>
    </w:p>
    <w:p w14:paraId="136BE556">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法定代表人：法定代表人：</w:t>
      </w:r>
    </w:p>
    <w:p w14:paraId="6750309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委托代理人：委托代理人：</w:t>
      </w:r>
    </w:p>
    <w:p w14:paraId="051C71A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电话：电话：</w:t>
      </w:r>
    </w:p>
    <w:p w14:paraId="7F1D387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传真：传真：</w:t>
      </w:r>
    </w:p>
    <w:p w14:paraId="5738D22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开户银行：</w:t>
      </w:r>
    </w:p>
    <w:p w14:paraId="1CF07230">
      <w:pPr>
        <w:snapToGrid w:val="0"/>
        <w:spacing w:line="360" w:lineRule="auto"/>
        <w:rPr>
          <w:rFonts w:ascii="宋体" w:hAnsi="宋体" w:cs="宋体"/>
          <w:b/>
          <w:bCs/>
          <w:color w:val="auto"/>
          <w:highlight w:val="none"/>
        </w:rPr>
      </w:pPr>
      <w:r>
        <w:rPr>
          <w:rFonts w:hint="eastAsia" w:ascii="宋体" w:hAnsi="宋体" w:cs="宋体"/>
          <w:color w:val="auto"/>
          <w:highlight w:val="none"/>
        </w:rPr>
        <w:t>帐号：</w:t>
      </w:r>
    </w:p>
    <w:p w14:paraId="0B8AF51A">
      <w:pPr>
        <w:rPr>
          <w:rFonts w:ascii="宋体" w:hAnsi="宋体" w:cs="宋体"/>
          <w:b/>
          <w:bCs/>
          <w:color w:val="auto"/>
          <w:highlight w:val="none"/>
        </w:rPr>
      </w:pPr>
    </w:p>
    <w:p w14:paraId="5D5F6818">
      <w:pPr>
        <w:rPr>
          <w:rFonts w:ascii="宋体" w:hAnsi="宋体" w:cs="宋体"/>
          <w:b/>
          <w:bCs/>
          <w:color w:val="auto"/>
          <w:highlight w:val="none"/>
        </w:rPr>
      </w:pPr>
    </w:p>
    <w:p w14:paraId="4D4D59A7">
      <w:pPr>
        <w:rPr>
          <w:rFonts w:ascii="宋体" w:hAnsi="宋体" w:cs="宋体"/>
          <w:b/>
          <w:bCs/>
          <w:color w:val="auto"/>
          <w:highlight w:val="none"/>
        </w:rPr>
      </w:pPr>
    </w:p>
    <w:p w14:paraId="6A011E9E">
      <w:pPr>
        <w:rPr>
          <w:rFonts w:ascii="宋体" w:hAnsi="宋体" w:cs="宋体"/>
          <w:b/>
          <w:bCs/>
          <w:color w:val="auto"/>
          <w:highlight w:val="none"/>
        </w:rPr>
      </w:pPr>
    </w:p>
    <w:p w14:paraId="7300B06F">
      <w:pPr>
        <w:rPr>
          <w:rFonts w:ascii="宋体" w:hAnsi="宋体" w:cs="宋体"/>
          <w:b/>
          <w:bCs/>
          <w:color w:val="auto"/>
          <w:highlight w:val="none"/>
        </w:rPr>
      </w:pPr>
    </w:p>
    <w:p w14:paraId="70CAE22E">
      <w:pPr>
        <w:rPr>
          <w:rFonts w:ascii="宋体" w:hAnsi="宋体" w:cs="宋体"/>
          <w:b/>
          <w:bCs/>
          <w:color w:val="auto"/>
          <w:highlight w:val="none"/>
        </w:rPr>
      </w:pPr>
    </w:p>
    <w:p w14:paraId="167C1C85">
      <w:pPr>
        <w:rPr>
          <w:rFonts w:ascii="宋体" w:hAnsi="宋体" w:cs="宋体"/>
          <w:b/>
          <w:bCs/>
          <w:color w:val="auto"/>
          <w:highlight w:val="none"/>
        </w:rPr>
      </w:pPr>
    </w:p>
    <w:p w14:paraId="5750BC44">
      <w:pPr>
        <w:pStyle w:val="35"/>
        <w:rPr>
          <w:rFonts w:ascii="宋体" w:hAnsi="宋体" w:eastAsia="宋体" w:cs="宋体"/>
          <w:color w:val="auto"/>
          <w:highlight w:val="none"/>
        </w:rPr>
      </w:pPr>
    </w:p>
    <w:p w14:paraId="68F72E6F">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723AEE39">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r>
        <w:rPr>
          <w:rFonts w:hint="eastAsia" w:ascii="宋体" w:hAnsi="宋体" w:cs="宋体"/>
          <w:color w:val="auto"/>
          <w:sz w:val="30"/>
          <w:szCs w:val="30"/>
          <w:highlight w:val="none"/>
        </w:rPr>
        <w:t>二、政府采购合同通用条款</w:t>
      </w:r>
    </w:p>
    <w:p w14:paraId="0307F950">
      <w:pPr>
        <w:tabs>
          <w:tab w:val="left" w:pos="8820"/>
          <w:tab w:val="left" w:pos="9345"/>
          <w:tab w:val="left" w:pos="9765"/>
        </w:tabs>
        <w:adjustRightInd w:val="0"/>
        <w:snapToGrid w:val="0"/>
        <w:spacing w:beforeLines="50" w:line="360" w:lineRule="auto"/>
        <w:ind w:right="384" w:rightChars="183"/>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政府采购合同通用条款（服务类）</w:t>
      </w:r>
    </w:p>
    <w:p w14:paraId="4B86500D">
      <w:pPr>
        <w:adjustRightInd w:val="0"/>
        <w:snapToGrid w:val="0"/>
        <w:spacing w:line="360" w:lineRule="auto"/>
        <w:ind w:firstLine="420" w:firstLineChars="200"/>
        <w:rPr>
          <w:rFonts w:ascii="宋体" w:hAnsi="宋体" w:cs="宋体"/>
          <w:b/>
          <w:bCs/>
          <w:color w:val="auto"/>
          <w:sz w:val="30"/>
          <w:szCs w:val="30"/>
          <w:highlight w:val="none"/>
        </w:rPr>
      </w:pPr>
      <w:r>
        <w:rPr>
          <w:rFonts w:hint="eastAsia" w:ascii="宋体" w:hAnsi="宋体" w:cs="宋体"/>
          <w:color w:val="auto"/>
          <w:highlight w:val="none"/>
        </w:rPr>
        <w:t>服务类政府采购合同格式文本省级以上政府部门或行业组织有标准或示范文本的，应按照其文本确定合同格式。没有文本的，按照《中华人民共和国民法典》及采购项目特点自行拟定特定文本确定合同格式。</w:t>
      </w:r>
    </w:p>
    <w:p w14:paraId="649F53F7">
      <w:pPr>
        <w:adjustRightInd w:val="0"/>
        <w:snapToGrid w:val="0"/>
        <w:spacing w:line="360" w:lineRule="auto"/>
        <w:rPr>
          <w:rFonts w:ascii="宋体" w:hAnsi="宋体" w:cs="宋体"/>
          <w:color w:val="auto"/>
          <w:highlight w:val="none"/>
        </w:rPr>
      </w:pPr>
    </w:p>
    <w:p w14:paraId="428699DA">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6453D71D">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371E993F">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21E0ADA7">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2C9061DC">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67094018">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7D27A3B6">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5C036C90">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4A90C036">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4852BADD">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0F0F56B3">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6337E4A0">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6BC12B5E">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p>
    <w:p w14:paraId="4A3F2B1A">
      <w:pPr>
        <w:tabs>
          <w:tab w:val="left" w:pos="8820"/>
          <w:tab w:val="left" w:pos="9345"/>
          <w:tab w:val="left" w:pos="9765"/>
        </w:tabs>
        <w:adjustRightInd w:val="0"/>
        <w:snapToGrid w:val="0"/>
        <w:spacing w:beforeLines="50" w:line="360" w:lineRule="auto"/>
        <w:ind w:right="384" w:rightChars="183"/>
        <w:rPr>
          <w:rFonts w:ascii="宋体" w:hAnsi="宋体" w:cs="宋体"/>
          <w:color w:val="auto"/>
          <w:sz w:val="30"/>
          <w:szCs w:val="30"/>
          <w:highlight w:val="none"/>
        </w:rPr>
      </w:pPr>
      <w:r>
        <w:rPr>
          <w:rFonts w:hint="eastAsia" w:ascii="宋体" w:hAnsi="宋体" w:cs="宋体"/>
          <w:color w:val="auto"/>
          <w:sz w:val="30"/>
          <w:szCs w:val="30"/>
          <w:highlight w:val="none"/>
        </w:rPr>
        <w:t>三、政府采购合同专用条款</w:t>
      </w:r>
    </w:p>
    <w:p w14:paraId="68586582">
      <w:pPr>
        <w:spacing w:line="360" w:lineRule="exact"/>
        <w:rPr>
          <w:rFonts w:ascii="宋体" w:hAnsi="宋体" w:cs="宋体"/>
          <w:color w:val="auto"/>
          <w:sz w:val="32"/>
          <w:szCs w:val="32"/>
          <w:highlight w:val="none"/>
        </w:rPr>
      </w:pPr>
    </w:p>
    <w:p w14:paraId="06B77A19">
      <w:pPr>
        <w:pStyle w:val="7"/>
        <w:snapToGrid w:val="0"/>
        <w:ind w:left="105" w:leftChars="50"/>
        <w:jc w:val="center"/>
        <w:rPr>
          <w:rFonts w:ascii="宋体" w:hAnsi="宋体" w:cs="宋体"/>
          <w:color w:val="auto"/>
          <w:highlight w:val="none"/>
        </w:rPr>
      </w:pPr>
      <w:r>
        <w:rPr>
          <w:rFonts w:hint="eastAsia" w:ascii="宋体" w:hAnsi="宋体" w:cs="宋体"/>
          <w:b/>
          <w:bCs/>
          <w:color w:val="auto"/>
          <w:sz w:val="36"/>
          <w:szCs w:val="36"/>
          <w:highlight w:val="none"/>
        </w:rPr>
        <w:t>政府采购合同专用条款（服务类）</w:t>
      </w:r>
    </w:p>
    <w:tbl>
      <w:tblPr>
        <w:tblStyle w:val="21"/>
        <w:tblW w:w="9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0"/>
        <w:gridCol w:w="3014"/>
        <w:gridCol w:w="4430"/>
      </w:tblGrid>
      <w:tr w14:paraId="0117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580" w:type="dxa"/>
            <w:vAlign w:val="center"/>
          </w:tcPr>
          <w:p w14:paraId="3C99F5C0">
            <w:pPr>
              <w:jc w:val="center"/>
              <w:rPr>
                <w:rFonts w:ascii="宋体" w:hAnsi="宋体" w:cs="宋体"/>
                <w:b/>
                <w:bCs/>
                <w:color w:val="auto"/>
                <w:highlight w:val="none"/>
              </w:rPr>
            </w:pPr>
            <w:r>
              <w:rPr>
                <w:rFonts w:hint="eastAsia" w:ascii="宋体" w:hAnsi="宋体" w:cs="宋体"/>
                <w:b/>
                <w:bCs/>
                <w:color w:val="auto"/>
                <w:highlight w:val="none"/>
              </w:rPr>
              <w:t>条款号</w:t>
            </w:r>
          </w:p>
        </w:tc>
        <w:tc>
          <w:tcPr>
            <w:tcW w:w="3014" w:type="dxa"/>
            <w:vAlign w:val="center"/>
          </w:tcPr>
          <w:p w14:paraId="38C3FFB6">
            <w:pPr>
              <w:jc w:val="center"/>
              <w:rPr>
                <w:rFonts w:ascii="宋体" w:hAnsi="宋体" w:cs="宋体"/>
                <w:b/>
                <w:bCs/>
                <w:color w:val="auto"/>
                <w:highlight w:val="none"/>
              </w:rPr>
            </w:pPr>
            <w:r>
              <w:rPr>
                <w:rFonts w:hint="eastAsia" w:ascii="宋体" w:hAnsi="宋体" w:cs="宋体"/>
                <w:b/>
                <w:bCs/>
                <w:color w:val="auto"/>
                <w:highlight w:val="none"/>
              </w:rPr>
              <w:t>条款名称</w:t>
            </w:r>
          </w:p>
        </w:tc>
        <w:tc>
          <w:tcPr>
            <w:tcW w:w="4430" w:type="dxa"/>
            <w:vAlign w:val="center"/>
          </w:tcPr>
          <w:p w14:paraId="76FC5F1D">
            <w:pPr>
              <w:jc w:val="center"/>
              <w:rPr>
                <w:rFonts w:ascii="宋体" w:hAnsi="宋体" w:cs="宋体"/>
                <w:b/>
                <w:bCs/>
                <w:color w:val="auto"/>
                <w:highlight w:val="none"/>
              </w:rPr>
            </w:pPr>
            <w:r>
              <w:rPr>
                <w:rFonts w:hint="eastAsia" w:ascii="宋体" w:hAnsi="宋体" w:cs="宋体"/>
                <w:b/>
                <w:bCs/>
                <w:color w:val="auto"/>
                <w:highlight w:val="none"/>
              </w:rPr>
              <w:t>编列内容规定</w:t>
            </w:r>
          </w:p>
        </w:tc>
      </w:tr>
      <w:tr w14:paraId="3F5B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580" w:type="dxa"/>
            <w:vAlign w:val="center"/>
          </w:tcPr>
          <w:p w14:paraId="41AD4E53">
            <w:pPr>
              <w:spacing w:line="360" w:lineRule="auto"/>
              <w:rPr>
                <w:rFonts w:ascii="宋体" w:hAnsi="宋体" w:cs="宋体"/>
                <w:color w:val="auto"/>
                <w:highlight w:val="none"/>
              </w:rPr>
            </w:pPr>
            <w:r>
              <w:rPr>
                <w:rFonts w:hint="eastAsia" w:ascii="宋体" w:hAnsi="宋体" w:cs="宋体"/>
                <w:color w:val="auto"/>
                <w:highlight w:val="none"/>
              </w:rPr>
              <w:t>第1.2（6）款</w:t>
            </w:r>
          </w:p>
        </w:tc>
        <w:tc>
          <w:tcPr>
            <w:tcW w:w="3014" w:type="dxa"/>
            <w:vAlign w:val="center"/>
          </w:tcPr>
          <w:p w14:paraId="0D986AED">
            <w:pPr>
              <w:spacing w:line="360" w:lineRule="auto"/>
              <w:rPr>
                <w:rFonts w:ascii="宋体" w:hAnsi="宋体" w:cs="宋体"/>
                <w:color w:val="auto"/>
                <w:highlight w:val="none"/>
              </w:rPr>
            </w:pPr>
            <w:r>
              <w:rPr>
                <w:rFonts w:hint="eastAsia" w:ascii="宋体" w:hAnsi="宋体" w:cs="宋体"/>
                <w:color w:val="auto"/>
                <w:highlight w:val="none"/>
              </w:rPr>
              <w:t>项目现场</w:t>
            </w:r>
          </w:p>
        </w:tc>
        <w:tc>
          <w:tcPr>
            <w:tcW w:w="4430" w:type="dxa"/>
            <w:vAlign w:val="center"/>
          </w:tcPr>
          <w:p w14:paraId="39A1A166">
            <w:pPr>
              <w:spacing w:line="360" w:lineRule="auto"/>
              <w:jc w:val="left"/>
              <w:rPr>
                <w:rFonts w:ascii="宋体" w:hAnsi="宋体" w:cs="宋体"/>
                <w:color w:val="auto"/>
                <w:highlight w:val="none"/>
              </w:rPr>
            </w:pPr>
            <w:r>
              <w:rPr>
                <w:rFonts w:hint="eastAsia" w:ascii="宋体" w:hAnsi="宋体" w:cs="宋体"/>
                <w:color w:val="auto"/>
                <w:highlight w:val="none"/>
              </w:rPr>
              <w:t>湖南省商务厅指定地点</w:t>
            </w:r>
          </w:p>
        </w:tc>
      </w:tr>
      <w:tr w14:paraId="4DB92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580" w:type="dxa"/>
            <w:vAlign w:val="center"/>
          </w:tcPr>
          <w:p w14:paraId="2851D388">
            <w:pPr>
              <w:spacing w:line="360" w:lineRule="auto"/>
              <w:rPr>
                <w:rFonts w:ascii="宋体" w:hAnsi="宋体" w:cs="宋体"/>
                <w:color w:val="auto"/>
                <w:highlight w:val="none"/>
              </w:rPr>
            </w:pPr>
            <w:r>
              <w:rPr>
                <w:rFonts w:hint="eastAsia" w:ascii="宋体" w:hAnsi="宋体" w:cs="宋体"/>
                <w:color w:val="auto"/>
                <w:highlight w:val="none"/>
              </w:rPr>
              <w:t>第5.1条</w:t>
            </w:r>
          </w:p>
        </w:tc>
        <w:tc>
          <w:tcPr>
            <w:tcW w:w="3014" w:type="dxa"/>
            <w:vAlign w:val="center"/>
          </w:tcPr>
          <w:p w14:paraId="731D73E5">
            <w:pPr>
              <w:spacing w:line="360" w:lineRule="auto"/>
              <w:rPr>
                <w:rFonts w:ascii="宋体" w:hAnsi="宋体" w:cs="宋体"/>
                <w:color w:val="auto"/>
                <w:highlight w:val="none"/>
              </w:rPr>
            </w:pPr>
            <w:r>
              <w:rPr>
                <w:rFonts w:hint="eastAsia" w:ascii="宋体" w:hAnsi="宋体" w:cs="宋体"/>
                <w:color w:val="auto"/>
                <w:highlight w:val="none"/>
              </w:rPr>
              <w:t>履行合同的时间、地点及方式</w:t>
            </w:r>
          </w:p>
        </w:tc>
        <w:tc>
          <w:tcPr>
            <w:tcW w:w="4430" w:type="dxa"/>
            <w:vAlign w:val="center"/>
          </w:tcPr>
          <w:p w14:paraId="7F53E95E">
            <w:pPr>
              <w:spacing w:line="360" w:lineRule="auto"/>
              <w:rPr>
                <w:rFonts w:ascii="宋体" w:hAnsi="宋体" w:cs="宋体"/>
                <w:color w:val="auto"/>
                <w:highlight w:val="none"/>
              </w:rPr>
            </w:pPr>
            <w:r>
              <w:rPr>
                <w:rFonts w:hint="eastAsia" w:ascii="宋体" w:hAnsi="宋体" w:cs="宋体"/>
                <w:color w:val="auto"/>
                <w:highlight w:val="none"/>
              </w:rPr>
              <w:t>详见第四章采购需求</w:t>
            </w:r>
          </w:p>
        </w:tc>
      </w:tr>
      <w:tr w14:paraId="7760F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580" w:type="dxa"/>
            <w:vAlign w:val="center"/>
          </w:tcPr>
          <w:p w14:paraId="3A13BC45">
            <w:pPr>
              <w:spacing w:line="360" w:lineRule="auto"/>
              <w:rPr>
                <w:rFonts w:ascii="宋体" w:hAnsi="宋体" w:cs="宋体"/>
                <w:color w:val="auto"/>
                <w:highlight w:val="none"/>
              </w:rPr>
            </w:pPr>
            <w:r>
              <w:rPr>
                <w:rFonts w:hint="eastAsia" w:ascii="宋体" w:hAnsi="宋体" w:cs="宋体"/>
                <w:color w:val="auto"/>
                <w:highlight w:val="none"/>
              </w:rPr>
              <w:t>第13.5条</w:t>
            </w:r>
          </w:p>
        </w:tc>
        <w:tc>
          <w:tcPr>
            <w:tcW w:w="3014" w:type="dxa"/>
            <w:vAlign w:val="center"/>
          </w:tcPr>
          <w:p w14:paraId="6F187FBD">
            <w:pPr>
              <w:spacing w:line="360" w:lineRule="auto"/>
              <w:rPr>
                <w:rFonts w:ascii="宋体" w:hAnsi="宋体" w:cs="宋体"/>
                <w:color w:val="auto"/>
                <w:highlight w:val="none"/>
              </w:rPr>
            </w:pPr>
            <w:r>
              <w:rPr>
                <w:rFonts w:hint="eastAsia" w:ascii="宋体" w:hAnsi="宋体" w:cs="宋体"/>
                <w:color w:val="auto"/>
                <w:highlight w:val="none"/>
              </w:rPr>
              <w:t>合同价款支付方式和条件</w:t>
            </w:r>
          </w:p>
        </w:tc>
        <w:tc>
          <w:tcPr>
            <w:tcW w:w="4430" w:type="dxa"/>
            <w:vAlign w:val="center"/>
          </w:tcPr>
          <w:p w14:paraId="2FB5668D">
            <w:pPr>
              <w:widowControl/>
              <w:spacing w:line="400" w:lineRule="exact"/>
              <w:rPr>
                <w:rFonts w:ascii="宋体" w:hAnsi="宋体" w:cs="宋体"/>
                <w:color w:val="auto"/>
                <w:highlight w:val="none"/>
              </w:rPr>
            </w:pPr>
            <w:r>
              <w:rPr>
                <w:rFonts w:hint="eastAsia" w:ascii="宋体" w:hAnsi="宋体" w:cs="宋体"/>
                <w:color w:val="auto"/>
                <w:highlight w:val="none"/>
              </w:rPr>
              <w:t>详见第四章采购需求</w:t>
            </w:r>
          </w:p>
        </w:tc>
      </w:tr>
      <w:tr w14:paraId="4736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580" w:type="dxa"/>
            <w:vAlign w:val="center"/>
          </w:tcPr>
          <w:p w14:paraId="661A0BD1">
            <w:pPr>
              <w:spacing w:line="360" w:lineRule="auto"/>
              <w:rPr>
                <w:rFonts w:ascii="宋体" w:hAnsi="宋体" w:cs="宋体"/>
                <w:color w:val="auto"/>
                <w:highlight w:val="none"/>
              </w:rPr>
            </w:pPr>
            <w:r>
              <w:rPr>
                <w:rFonts w:hint="eastAsia" w:ascii="宋体" w:hAnsi="宋体" w:cs="宋体"/>
                <w:color w:val="auto"/>
                <w:highlight w:val="none"/>
              </w:rPr>
              <w:t>第14.2(6) 款</w:t>
            </w:r>
          </w:p>
        </w:tc>
        <w:tc>
          <w:tcPr>
            <w:tcW w:w="3014" w:type="dxa"/>
            <w:vAlign w:val="center"/>
          </w:tcPr>
          <w:p w14:paraId="7BCE13D0">
            <w:pPr>
              <w:spacing w:line="360" w:lineRule="auto"/>
              <w:rPr>
                <w:rFonts w:ascii="宋体" w:hAnsi="宋体" w:cs="宋体"/>
                <w:color w:val="auto"/>
                <w:highlight w:val="none"/>
              </w:rPr>
            </w:pPr>
            <w:r>
              <w:rPr>
                <w:rFonts w:hint="eastAsia" w:ascii="宋体" w:hAnsi="宋体" w:cs="宋体"/>
                <w:color w:val="auto"/>
                <w:highlight w:val="none"/>
              </w:rPr>
              <w:t>伴随服务</w:t>
            </w:r>
          </w:p>
        </w:tc>
        <w:tc>
          <w:tcPr>
            <w:tcW w:w="4430" w:type="dxa"/>
            <w:vAlign w:val="center"/>
          </w:tcPr>
          <w:p w14:paraId="34E6F405">
            <w:pPr>
              <w:spacing w:line="360" w:lineRule="auto"/>
              <w:rPr>
                <w:rFonts w:ascii="宋体" w:hAnsi="宋体" w:cs="宋体"/>
                <w:color w:val="auto"/>
                <w:highlight w:val="none"/>
              </w:rPr>
            </w:pPr>
            <w:r>
              <w:rPr>
                <w:rFonts w:hint="eastAsia" w:ascii="宋体" w:hAnsi="宋体" w:cs="宋体"/>
                <w:color w:val="auto"/>
                <w:highlight w:val="none"/>
              </w:rPr>
              <w:t>详见第四章采购需求</w:t>
            </w:r>
          </w:p>
        </w:tc>
      </w:tr>
      <w:tr w14:paraId="3B8F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580" w:type="dxa"/>
            <w:vAlign w:val="center"/>
          </w:tcPr>
          <w:p w14:paraId="57B5F172">
            <w:pPr>
              <w:spacing w:line="360" w:lineRule="auto"/>
              <w:rPr>
                <w:rFonts w:ascii="宋体" w:hAnsi="宋体" w:cs="宋体"/>
                <w:color w:val="auto"/>
                <w:highlight w:val="none"/>
              </w:rPr>
            </w:pPr>
            <w:r>
              <w:rPr>
                <w:rFonts w:hint="eastAsia" w:ascii="宋体" w:hAnsi="宋体" w:cs="宋体"/>
                <w:color w:val="auto"/>
                <w:highlight w:val="none"/>
              </w:rPr>
              <w:t>第20.2条</w:t>
            </w:r>
          </w:p>
        </w:tc>
        <w:tc>
          <w:tcPr>
            <w:tcW w:w="3014" w:type="dxa"/>
            <w:vAlign w:val="center"/>
          </w:tcPr>
          <w:p w14:paraId="18E72466">
            <w:pPr>
              <w:spacing w:line="360" w:lineRule="auto"/>
              <w:rPr>
                <w:rFonts w:ascii="宋体" w:hAnsi="宋体" w:cs="宋体"/>
                <w:color w:val="auto"/>
                <w:highlight w:val="none"/>
              </w:rPr>
            </w:pPr>
            <w:r>
              <w:rPr>
                <w:rFonts w:hint="eastAsia" w:ascii="宋体" w:hAnsi="宋体" w:cs="宋体"/>
                <w:color w:val="auto"/>
                <w:highlight w:val="none"/>
              </w:rPr>
              <w:t>解决争议的方式</w:t>
            </w:r>
          </w:p>
        </w:tc>
        <w:tc>
          <w:tcPr>
            <w:tcW w:w="4430" w:type="dxa"/>
            <w:vAlign w:val="center"/>
          </w:tcPr>
          <w:p w14:paraId="4A4EF605">
            <w:pPr>
              <w:spacing w:line="360" w:lineRule="auto"/>
              <w:rPr>
                <w:rFonts w:ascii="宋体" w:hAnsi="宋体" w:cs="宋体"/>
                <w:color w:val="auto"/>
                <w:highlight w:val="none"/>
              </w:rPr>
            </w:pPr>
            <w:r>
              <w:rPr>
                <w:rFonts w:hint="eastAsia" w:ascii="宋体" w:hAnsi="宋体" w:cs="宋体"/>
                <w:color w:val="auto"/>
                <w:highlight w:val="none"/>
              </w:rPr>
              <w:t>√诉讼</w:t>
            </w:r>
          </w:p>
          <w:p w14:paraId="4D553C08">
            <w:pPr>
              <w:spacing w:line="360" w:lineRule="auto"/>
              <w:rPr>
                <w:rFonts w:ascii="宋体" w:hAnsi="宋体" w:cs="宋体"/>
                <w:color w:val="auto"/>
                <w:highlight w:val="none"/>
              </w:rPr>
            </w:pPr>
            <w:r>
              <w:rPr>
                <w:rFonts w:hint="eastAsia" w:ascii="宋体" w:hAnsi="宋体" w:cs="宋体"/>
                <w:color w:val="auto"/>
                <w:highlight w:val="none"/>
              </w:rPr>
              <w:t>□仲裁</w:t>
            </w:r>
          </w:p>
        </w:tc>
      </w:tr>
    </w:tbl>
    <w:p w14:paraId="2D0CEE2B">
      <w:pPr>
        <w:pStyle w:val="7"/>
        <w:snapToGrid w:val="0"/>
        <w:ind w:left="105" w:leftChars="50"/>
        <w:rPr>
          <w:rFonts w:ascii="宋体" w:hAnsi="宋体" w:cs="宋体"/>
          <w:color w:val="auto"/>
          <w:highlight w:val="none"/>
        </w:rPr>
      </w:pPr>
    </w:p>
    <w:p w14:paraId="06CBA8B0">
      <w:pPr>
        <w:pStyle w:val="7"/>
        <w:snapToGrid w:val="0"/>
        <w:ind w:left="105" w:leftChars="50"/>
        <w:rPr>
          <w:rFonts w:ascii="宋体" w:hAnsi="宋体" w:cs="宋体"/>
          <w:color w:val="auto"/>
          <w:highlight w:val="none"/>
        </w:rPr>
      </w:pPr>
    </w:p>
    <w:p w14:paraId="70437344">
      <w:pPr>
        <w:pStyle w:val="7"/>
        <w:snapToGrid w:val="0"/>
        <w:ind w:left="105" w:leftChars="50"/>
        <w:rPr>
          <w:rFonts w:ascii="宋体" w:hAnsi="宋体" w:cs="宋体"/>
          <w:color w:val="auto"/>
          <w:highlight w:val="none"/>
        </w:rPr>
      </w:pPr>
    </w:p>
    <w:p w14:paraId="1061B430">
      <w:pPr>
        <w:pStyle w:val="7"/>
        <w:snapToGrid w:val="0"/>
        <w:ind w:left="105" w:leftChars="50"/>
        <w:rPr>
          <w:rFonts w:ascii="宋体" w:hAnsi="宋体" w:cs="宋体"/>
          <w:color w:val="auto"/>
          <w:highlight w:val="none"/>
        </w:rPr>
      </w:pPr>
    </w:p>
    <w:p w14:paraId="75525600">
      <w:pPr>
        <w:pStyle w:val="7"/>
        <w:snapToGrid w:val="0"/>
        <w:ind w:left="105" w:leftChars="50"/>
        <w:rPr>
          <w:rFonts w:ascii="宋体" w:hAnsi="宋体" w:cs="宋体"/>
          <w:color w:val="auto"/>
          <w:highlight w:val="none"/>
        </w:rPr>
      </w:pPr>
    </w:p>
    <w:p w14:paraId="68ED551E">
      <w:pPr>
        <w:pStyle w:val="7"/>
        <w:snapToGrid w:val="0"/>
        <w:ind w:left="105" w:leftChars="50"/>
        <w:rPr>
          <w:rFonts w:ascii="宋体" w:hAnsi="宋体" w:cs="宋体"/>
          <w:color w:val="auto"/>
          <w:highlight w:val="none"/>
        </w:rPr>
      </w:pPr>
    </w:p>
    <w:p w14:paraId="618492D8">
      <w:pPr>
        <w:pStyle w:val="7"/>
        <w:snapToGrid w:val="0"/>
        <w:ind w:left="105" w:leftChars="50"/>
        <w:rPr>
          <w:rFonts w:ascii="宋体" w:hAnsi="宋体" w:cs="宋体"/>
          <w:color w:val="auto"/>
          <w:highlight w:val="none"/>
        </w:rPr>
      </w:pPr>
    </w:p>
    <w:p w14:paraId="4818912D">
      <w:pPr>
        <w:pStyle w:val="7"/>
        <w:snapToGrid w:val="0"/>
        <w:ind w:left="105" w:leftChars="50"/>
        <w:rPr>
          <w:rFonts w:ascii="宋体" w:hAnsi="宋体" w:cs="宋体"/>
          <w:color w:val="auto"/>
          <w:highlight w:val="none"/>
        </w:rPr>
      </w:pPr>
    </w:p>
    <w:p w14:paraId="4113E39F">
      <w:pPr>
        <w:pStyle w:val="7"/>
        <w:snapToGrid w:val="0"/>
        <w:ind w:left="105" w:leftChars="50"/>
        <w:rPr>
          <w:rFonts w:ascii="宋体" w:hAnsi="宋体" w:cs="宋体"/>
          <w:color w:val="auto"/>
          <w:highlight w:val="none"/>
        </w:rPr>
      </w:pPr>
    </w:p>
    <w:p w14:paraId="155891F1">
      <w:pPr>
        <w:pStyle w:val="7"/>
        <w:snapToGrid w:val="0"/>
        <w:ind w:left="105" w:leftChars="50"/>
        <w:rPr>
          <w:rFonts w:ascii="宋体" w:hAnsi="宋体" w:cs="宋体"/>
          <w:color w:val="auto"/>
          <w:highlight w:val="none"/>
        </w:rPr>
      </w:pPr>
    </w:p>
    <w:p w14:paraId="1DF5551F">
      <w:pPr>
        <w:pStyle w:val="7"/>
        <w:snapToGrid w:val="0"/>
        <w:ind w:left="105" w:leftChars="50"/>
        <w:rPr>
          <w:rFonts w:ascii="宋体" w:hAnsi="宋体" w:cs="宋体"/>
          <w:color w:val="auto"/>
          <w:highlight w:val="none"/>
        </w:rPr>
      </w:pPr>
    </w:p>
    <w:p w14:paraId="35513FD3">
      <w:pPr>
        <w:pStyle w:val="7"/>
        <w:snapToGrid w:val="0"/>
        <w:ind w:left="105" w:leftChars="50"/>
        <w:rPr>
          <w:rFonts w:ascii="宋体" w:hAnsi="宋体" w:cs="宋体"/>
          <w:color w:val="auto"/>
          <w:highlight w:val="none"/>
        </w:rPr>
      </w:pPr>
    </w:p>
    <w:p w14:paraId="2FE0263B">
      <w:pPr>
        <w:pStyle w:val="7"/>
        <w:snapToGrid w:val="0"/>
        <w:ind w:left="105" w:leftChars="50"/>
        <w:rPr>
          <w:rFonts w:ascii="宋体" w:hAnsi="宋体" w:cs="宋体"/>
          <w:color w:val="auto"/>
          <w:highlight w:val="none"/>
        </w:rPr>
      </w:pPr>
    </w:p>
    <w:p w14:paraId="2C6BB707">
      <w:pPr>
        <w:pStyle w:val="7"/>
        <w:snapToGrid w:val="0"/>
        <w:ind w:left="105" w:leftChars="50"/>
        <w:rPr>
          <w:rFonts w:ascii="宋体" w:hAnsi="宋体" w:cs="宋体"/>
          <w:color w:val="auto"/>
          <w:highlight w:val="none"/>
        </w:rPr>
      </w:pPr>
    </w:p>
    <w:p w14:paraId="396B6D6A">
      <w:pPr>
        <w:pStyle w:val="7"/>
        <w:snapToGrid w:val="0"/>
        <w:ind w:left="105" w:leftChars="50"/>
        <w:rPr>
          <w:rFonts w:ascii="宋体" w:hAnsi="宋体" w:cs="宋体"/>
          <w:color w:val="auto"/>
          <w:highlight w:val="none"/>
        </w:rPr>
      </w:pPr>
    </w:p>
    <w:p w14:paraId="6A77343D">
      <w:pPr>
        <w:pStyle w:val="7"/>
        <w:snapToGrid w:val="0"/>
        <w:ind w:left="105" w:leftChars="50"/>
        <w:rPr>
          <w:rFonts w:ascii="宋体" w:hAnsi="宋体" w:cs="宋体"/>
          <w:color w:val="auto"/>
          <w:highlight w:val="none"/>
        </w:rPr>
      </w:pPr>
    </w:p>
    <w:p w14:paraId="566AA1EA">
      <w:pPr>
        <w:pStyle w:val="7"/>
        <w:snapToGrid w:val="0"/>
        <w:ind w:left="105" w:leftChars="50"/>
        <w:rPr>
          <w:rFonts w:ascii="宋体" w:hAnsi="宋体" w:cs="宋体"/>
          <w:color w:val="auto"/>
          <w:highlight w:val="none"/>
        </w:rPr>
      </w:pPr>
    </w:p>
    <w:p w14:paraId="3A21C01D">
      <w:pPr>
        <w:spacing w:line="360" w:lineRule="exact"/>
        <w:ind w:firstLine="4176" w:firstLineChars="1300"/>
        <w:rPr>
          <w:rFonts w:ascii="宋体" w:hAnsi="宋体" w:cs="宋体"/>
          <w:b/>
          <w:bCs/>
          <w:color w:val="auto"/>
          <w:sz w:val="32"/>
          <w:szCs w:val="32"/>
          <w:highlight w:val="none"/>
        </w:rPr>
      </w:pPr>
    </w:p>
    <w:p w14:paraId="6436AA2D">
      <w:pPr>
        <w:spacing w:line="360" w:lineRule="exact"/>
        <w:ind w:firstLine="4176" w:firstLineChars="1300"/>
        <w:rPr>
          <w:rFonts w:ascii="宋体" w:hAnsi="宋体" w:cs="宋体"/>
          <w:b/>
          <w:bCs/>
          <w:color w:val="auto"/>
          <w:sz w:val="32"/>
          <w:szCs w:val="32"/>
          <w:highlight w:val="none"/>
        </w:rPr>
      </w:pPr>
    </w:p>
    <w:p w14:paraId="42828E35">
      <w:pPr>
        <w:spacing w:line="360" w:lineRule="exact"/>
        <w:rPr>
          <w:rFonts w:ascii="宋体" w:hAnsi="宋体" w:cs="宋体"/>
          <w:b/>
          <w:bCs/>
          <w:color w:val="auto"/>
          <w:sz w:val="32"/>
          <w:szCs w:val="32"/>
          <w:highlight w:val="none"/>
        </w:rPr>
      </w:pPr>
    </w:p>
    <w:p w14:paraId="64B26026">
      <w:pPr>
        <w:pStyle w:val="35"/>
        <w:rPr>
          <w:color w:val="auto"/>
          <w:highlight w:val="none"/>
        </w:rPr>
      </w:pPr>
    </w:p>
    <w:p w14:paraId="69D1E22E">
      <w:pPr>
        <w:adjustRightInd w:val="0"/>
        <w:snapToGrid w:val="0"/>
        <w:spacing w:line="360" w:lineRule="auto"/>
        <w:ind w:firstLine="787" w:firstLineChars="245"/>
        <w:jc w:val="center"/>
        <w:outlineLvl w:val="0"/>
        <w:rPr>
          <w:rFonts w:ascii="宋体" w:hAnsi="宋体" w:cs="宋体"/>
          <w:b/>
          <w:bCs/>
          <w:sz w:val="32"/>
          <w:szCs w:val="32"/>
        </w:rPr>
      </w:pPr>
      <w:r>
        <w:rPr>
          <w:rFonts w:hint="eastAsia" w:ascii="宋体" w:hAnsi="宋体" w:cs="宋体"/>
          <w:b/>
          <w:bCs/>
          <w:color w:val="auto"/>
          <w:sz w:val="32"/>
          <w:szCs w:val="32"/>
          <w:highlight w:val="none"/>
        </w:rPr>
        <w:t xml:space="preserve">第四章  </w:t>
      </w:r>
      <w:r>
        <w:rPr>
          <w:rFonts w:hint="eastAsia" w:ascii="宋体" w:hAnsi="宋体" w:eastAsia="宋体" w:cs="宋体"/>
          <w:b/>
          <w:bCs/>
          <w:color w:val="auto"/>
          <w:sz w:val="32"/>
          <w:szCs w:val="32"/>
          <w:highlight w:val="none"/>
        </w:rPr>
        <w:t>采购需求</w:t>
      </w:r>
    </w:p>
    <w:p w14:paraId="098A7B4D">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outlineLvl w:val="0"/>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一、项目名称</w:t>
      </w:r>
    </w:p>
    <w:p w14:paraId="210E38D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color w:val="auto"/>
          <w:sz w:val="21"/>
          <w:szCs w:val="21"/>
          <w:lang w:val="en-US" w:eastAsia="zh-CN"/>
        </w:rPr>
      </w:pPr>
      <w:r>
        <w:rPr>
          <w:rFonts w:hint="eastAsia" w:ascii="宋体" w:hAnsi="宋体" w:cs="宋体"/>
          <w:color w:val="auto"/>
          <w:sz w:val="21"/>
          <w:szCs w:val="21"/>
          <w:lang w:val="en-US" w:eastAsia="zh-CN"/>
        </w:rPr>
        <w:t>中非经贸博览会走进进博会专场推介会会务服务项目</w:t>
      </w:r>
    </w:p>
    <w:p w14:paraId="15F41236">
      <w:pPr>
        <w:keepNext w:val="0"/>
        <w:keepLines w:val="0"/>
        <w:pageBreakBefore w:val="0"/>
        <w:widowControl w:val="0"/>
        <w:kinsoku/>
        <w:wordWrap/>
        <w:overflowPunct/>
        <w:topLinePunct w:val="0"/>
        <w:autoSpaceDE/>
        <w:autoSpaceDN/>
        <w:bidi w:val="0"/>
        <w:adjustRightInd/>
        <w:snapToGrid/>
        <w:spacing w:line="360" w:lineRule="auto"/>
        <w:ind w:left="0" w:right="0" w:rightChars="0" w:firstLine="422" w:firstLineChars="200"/>
        <w:textAlignment w:val="auto"/>
        <w:rPr>
          <w:rFonts w:hint="eastAsia" w:ascii="宋体" w:hAnsi="宋体" w:cs="宋体"/>
          <w:color w:val="auto"/>
          <w:sz w:val="24"/>
          <w:szCs w:val="24"/>
          <w:highlight w:val="none"/>
          <w:lang w:eastAsia="zh-CN"/>
        </w:rPr>
      </w:pPr>
      <w:r>
        <w:rPr>
          <w:rFonts w:hint="eastAsia" w:ascii="Times New Roman" w:hAnsi="Times New Roman" w:eastAsia="宋体" w:cs="Times New Roman"/>
          <w:b/>
          <w:bCs/>
          <w:color w:val="auto"/>
          <w:sz w:val="21"/>
          <w:szCs w:val="21"/>
          <w:lang w:val="en-US" w:eastAsia="zh-CN"/>
        </w:rPr>
        <w:t>二、采购项目预算：</w:t>
      </w:r>
      <w:r>
        <w:rPr>
          <w:rFonts w:hint="eastAsia" w:ascii="宋体" w:hAnsi="宋体" w:cs="宋体"/>
          <w:color w:val="auto"/>
          <w:sz w:val="21"/>
          <w:szCs w:val="21"/>
          <w:lang w:val="en-US" w:eastAsia="zh-CN"/>
        </w:rPr>
        <w:t>226700.00元</w:t>
      </w:r>
    </w:p>
    <w:p w14:paraId="1720BFB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0"/>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三</w:t>
      </w:r>
      <w:r>
        <w:rPr>
          <w:rFonts w:hint="eastAsia" w:ascii="Times New Roman" w:hAnsi="Times New Roman" w:eastAsia="宋体" w:cs="Times New Roman"/>
          <w:b/>
          <w:bCs/>
          <w:color w:val="auto"/>
          <w:sz w:val="21"/>
          <w:szCs w:val="21"/>
        </w:rPr>
        <w:t>、</w:t>
      </w:r>
      <w:r>
        <w:rPr>
          <w:rFonts w:hint="eastAsia" w:ascii="Times New Roman" w:hAnsi="Times New Roman" w:eastAsia="宋体" w:cs="Times New Roman"/>
          <w:b/>
          <w:bCs/>
          <w:color w:val="auto"/>
          <w:sz w:val="21"/>
          <w:szCs w:val="21"/>
          <w:lang w:val="en-US" w:eastAsia="zh-CN"/>
        </w:rPr>
        <w:t>项目概况</w:t>
      </w:r>
    </w:p>
    <w:p w14:paraId="36F83D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非经贸博览会走进进博会专场推介会定于2025年11月5日在上海举办（实际举办时间以采购人最终确认为准），本次活动由湖南省商务厅主办，现拟采购一家服务商协助做好本次推介会，主要负责会务方面的承办实施和其他会务具体工作。</w:t>
      </w:r>
    </w:p>
    <w:p w14:paraId="3A951572">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jc w:val="left"/>
        <w:textAlignment w:val="auto"/>
        <w:outlineLvl w:val="0"/>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四</w:t>
      </w:r>
      <w:r>
        <w:rPr>
          <w:rFonts w:hint="eastAsia" w:ascii="Times New Roman" w:hAnsi="Times New Roman" w:eastAsia="宋体" w:cs="Times New Roman"/>
          <w:b/>
          <w:bCs/>
          <w:color w:val="auto"/>
          <w:sz w:val="21"/>
          <w:szCs w:val="21"/>
        </w:rPr>
        <w:t>、采购内容及要求</w:t>
      </w:r>
    </w:p>
    <w:p w14:paraId="61748DA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整体的会务服务，包含前期勘场，活动期间执行，活动结束后结算等</w:t>
      </w:r>
      <w:r>
        <w:rPr>
          <w:rFonts w:hint="eastAsia" w:ascii="宋体" w:hAnsi="宋体" w:eastAsia="宋体" w:cs="宋体"/>
          <w:color w:val="auto"/>
          <w:sz w:val="21"/>
          <w:szCs w:val="21"/>
          <w:lang w:eastAsia="zh-CN"/>
        </w:rPr>
        <w:t>；</w:t>
      </w:r>
    </w:p>
    <w:p w14:paraId="7B82262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开展嘉宾邀请，协助对接非洲驻华使节、中非重点商协会、重点企业等嘉宾，发出邀请函并</w:t>
      </w:r>
      <w:r>
        <w:rPr>
          <w:rFonts w:hint="eastAsia" w:ascii="宋体" w:hAnsi="宋体" w:eastAsia="宋体" w:cs="宋体"/>
          <w:color w:val="auto"/>
          <w:sz w:val="21"/>
          <w:szCs w:val="21"/>
          <w:lang w:val="en-US" w:eastAsia="zh-CN"/>
        </w:rPr>
        <w:t>做好现场</w:t>
      </w:r>
      <w:r>
        <w:rPr>
          <w:rFonts w:hint="eastAsia" w:ascii="宋体" w:hAnsi="宋体" w:eastAsia="宋体" w:cs="宋体"/>
          <w:color w:val="auto"/>
          <w:sz w:val="21"/>
          <w:szCs w:val="21"/>
        </w:rPr>
        <w:t>接待等服务工作；</w:t>
      </w:r>
    </w:p>
    <w:p w14:paraId="15427C9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活动主舞台（含LED屏幕、舞台地毯等）的设计、搭建、调试、控制等；</w:t>
      </w:r>
    </w:p>
    <w:p w14:paraId="569CB87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活动现场主控制器、话筒、音响、灯光及灯光架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同传间</w:t>
      </w:r>
      <w:r>
        <w:rPr>
          <w:rFonts w:hint="eastAsia" w:ascii="宋体" w:hAnsi="宋体" w:eastAsia="宋体" w:cs="宋体"/>
          <w:color w:val="auto"/>
          <w:sz w:val="21"/>
          <w:szCs w:val="21"/>
        </w:rPr>
        <w:t>等会议设备的安装、调试、使用、控制等；</w:t>
      </w:r>
    </w:p>
    <w:p w14:paraId="0635EBE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活动现场签到板、</w:t>
      </w:r>
      <w:r>
        <w:rPr>
          <w:rFonts w:hint="eastAsia" w:ascii="宋体" w:hAnsi="宋体" w:eastAsia="宋体" w:cs="宋体"/>
          <w:color w:val="auto"/>
          <w:sz w:val="21"/>
          <w:szCs w:val="21"/>
          <w:lang w:val="en-US" w:eastAsia="zh-CN"/>
        </w:rPr>
        <w:t>合影墙、</w:t>
      </w:r>
      <w:r>
        <w:rPr>
          <w:rFonts w:hint="eastAsia" w:ascii="宋体" w:hAnsi="宋体" w:eastAsia="宋体" w:cs="宋体"/>
          <w:color w:val="auto"/>
          <w:sz w:val="21"/>
          <w:szCs w:val="21"/>
        </w:rPr>
        <w:t>指引牌、会议议程、席卡等物料和氛围的设计、制作、布置等；</w:t>
      </w:r>
    </w:p>
    <w:p w14:paraId="7DC046D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活动现场摄影、摄像、</w:t>
      </w:r>
      <w:r>
        <w:rPr>
          <w:rFonts w:hint="eastAsia" w:ascii="宋体" w:hAnsi="宋体" w:eastAsia="宋体" w:cs="宋体"/>
          <w:color w:val="auto"/>
          <w:sz w:val="21"/>
          <w:szCs w:val="21"/>
          <w:lang w:val="en-US" w:eastAsia="zh-CN"/>
        </w:rPr>
        <w:t>图片直播</w:t>
      </w:r>
      <w:r>
        <w:rPr>
          <w:rFonts w:hint="eastAsia" w:ascii="宋体" w:hAnsi="宋体" w:eastAsia="宋体" w:cs="宋体"/>
          <w:color w:val="auto"/>
          <w:sz w:val="21"/>
          <w:szCs w:val="21"/>
        </w:rPr>
        <w:t>、视频制作剪辑等，留存影像资料；</w:t>
      </w:r>
    </w:p>
    <w:p w14:paraId="1D10396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活动</w:t>
      </w:r>
      <w:r>
        <w:rPr>
          <w:rFonts w:hint="eastAsia" w:ascii="宋体" w:hAnsi="宋体" w:eastAsia="宋体" w:cs="宋体"/>
          <w:color w:val="auto"/>
          <w:sz w:val="21"/>
          <w:szCs w:val="21"/>
          <w:lang w:val="en-US" w:eastAsia="zh-CN"/>
        </w:rPr>
        <w:t>同传、</w:t>
      </w:r>
      <w:r>
        <w:rPr>
          <w:rFonts w:hint="eastAsia" w:ascii="宋体" w:hAnsi="宋体" w:eastAsia="宋体" w:cs="宋体"/>
          <w:color w:val="auto"/>
          <w:sz w:val="21"/>
          <w:szCs w:val="21"/>
        </w:rPr>
        <w:t>工作人员等现场服务人员的配备和使用管理；</w:t>
      </w:r>
    </w:p>
    <w:p w14:paraId="71057D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活动现场的嘉宾引导、签到等，现场的应急处理；</w:t>
      </w:r>
    </w:p>
    <w:p w14:paraId="36EEBAB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活动全流程彩排演练、现场全流程执行；</w:t>
      </w:r>
    </w:p>
    <w:p w14:paraId="18FE49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活动执行方案的制定，会后有关资料的收集、整理、移交</w:t>
      </w:r>
      <w:r>
        <w:rPr>
          <w:rFonts w:hint="eastAsia" w:ascii="宋体" w:hAnsi="宋体" w:eastAsia="宋体" w:cs="宋体"/>
          <w:color w:val="auto"/>
          <w:sz w:val="21"/>
          <w:szCs w:val="21"/>
          <w:lang w:eastAsia="zh-CN"/>
        </w:rPr>
        <w:t>；</w:t>
      </w:r>
    </w:p>
    <w:p w14:paraId="177507C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按照采购人的要求需提供的其他会务执行服务。</w:t>
      </w:r>
    </w:p>
    <w:p w14:paraId="3666CDC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rPr>
        <w:t>、项目其他要求及说明</w:t>
      </w:r>
    </w:p>
    <w:p w14:paraId="1538A6B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结算方法：</w:t>
      </w:r>
    </w:p>
    <w:p w14:paraId="4F7BE75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1.1付款人：湖南省商务厅</w:t>
      </w:r>
    </w:p>
    <w:p w14:paraId="7D967BB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1.2付款方式：合同签订后支付50%的合同款项，项目完成经采购人验收合格后（无投诉、无举报、无不良影响</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无安全隐患</w:t>
      </w:r>
      <w:r>
        <w:rPr>
          <w:rFonts w:hint="eastAsia" w:ascii="宋体" w:hAnsi="宋体" w:eastAsia="宋体" w:cs="宋体"/>
          <w:color w:val="auto"/>
          <w:sz w:val="21"/>
          <w:szCs w:val="21"/>
        </w:rPr>
        <w:t>）支付剩余款项。</w:t>
      </w:r>
    </w:p>
    <w:p w14:paraId="4C3DE69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中标单位负责其派出人员及设备的安全，发生非采购人原因的安全及其他责任事故的，由中标人承担全部责任，采购人不负责任何赔偿及不承担任何连带责任。</w:t>
      </w:r>
    </w:p>
    <w:p w14:paraId="55298CC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中标单位在履行合同期间不得损害采购人及第三方的利益，由于中标单位管理不善或失误给采购人或第三方带来经济损失的，中标单位承担全部责任。</w:t>
      </w:r>
    </w:p>
    <w:p w14:paraId="76B35EE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中标人需安排专职管理人员处理服务范围内的公共性事务及突发事务，受理服务对象的咨询和投诉。</w:t>
      </w:r>
    </w:p>
    <w:p w14:paraId="5A24E69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1"/>
        <w:rPr>
          <w:rFonts w:hint="eastAsia" w:ascii="宋体" w:hAnsi="宋体" w:cs="宋体"/>
          <w:color w:val="auto"/>
          <w:sz w:val="21"/>
          <w:szCs w:val="21"/>
          <w:lang w:eastAsia="zh-CN"/>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项目采用费用包干方式，投标人应根据项目要求和现场情况，详细列明项目所需材料、人工、交通工具、餐饮住宿、资料打印费用以及培训、管理、财务等所有费用，如一旦成交，在项目实施中出现任何遗漏，均由中标人免费提供，采购人不再支付任何费用</w:t>
      </w:r>
      <w:r>
        <w:rPr>
          <w:rFonts w:hint="eastAsia" w:ascii="宋体" w:hAnsi="宋体" w:cs="宋体"/>
          <w:color w:val="auto"/>
          <w:sz w:val="21"/>
          <w:szCs w:val="21"/>
          <w:lang w:eastAsia="zh-CN"/>
        </w:rPr>
        <w:t>。</w:t>
      </w:r>
    </w:p>
    <w:p w14:paraId="12FB1FED">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outlineLvl w:val="1"/>
        <w:rPr>
          <w:rFonts w:hint="eastAsia" w:ascii="宋体" w:hAnsi="宋体" w:eastAsia="宋体" w:cs="宋体"/>
          <w:color w:val="auto"/>
          <w:sz w:val="20"/>
          <w:szCs w:val="20"/>
          <w:lang w:eastAsia="zh-CN"/>
        </w:rPr>
        <w:sectPr>
          <w:pgSz w:w="11906" w:h="16838"/>
          <w:pgMar w:top="2098" w:right="1474" w:bottom="1757" w:left="1587" w:header="851" w:footer="992" w:gutter="0"/>
          <w:cols w:space="720" w:num="1"/>
          <w:docGrid w:type="lines" w:linePitch="312" w:charSpace="0"/>
        </w:sectPr>
      </w:pPr>
      <w:r>
        <w:rPr>
          <w:rFonts w:hint="eastAsia" w:ascii="宋体" w:hAnsi="宋体" w:eastAsia="宋体" w:cs="宋体"/>
          <w:b/>
          <w:bCs/>
          <w:color w:val="auto"/>
          <w:sz w:val="24"/>
          <w:szCs w:val="24"/>
        </w:rPr>
        <w:t>对于上述项目要求，供应商应在响应文件中进行回应，作出承诺及说明。</w:t>
      </w:r>
    </w:p>
    <w:p w14:paraId="1A895EBD">
      <w:pPr>
        <w:keepNext w:val="0"/>
        <w:keepLines w:val="0"/>
        <w:pageBreakBefore w:val="0"/>
        <w:widowControl w:val="0"/>
        <w:kinsoku/>
        <w:wordWrap/>
        <w:overflowPunct/>
        <w:topLinePunct w:val="0"/>
        <w:bidi w:val="0"/>
        <w:snapToGrid/>
        <w:spacing w:line="240" w:lineRule="auto"/>
        <w:textAlignment w:val="auto"/>
        <w:rPr>
          <w:rFonts w:hint="eastAsia" w:ascii="宋体" w:hAnsi="宋体" w:cs="宋体"/>
          <w:b/>
          <w:color w:val="auto"/>
          <w:sz w:val="32"/>
          <w:szCs w:val="32"/>
          <w:highlight w:val="none"/>
        </w:rPr>
      </w:pPr>
    </w:p>
    <w:p w14:paraId="7AF3FD65">
      <w:pPr>
        <w:autoSpaceDE w:val="0"/>
        <w:autoSpaceDN w:val="0"/>
        <w:adjustRightInd w:val="0"/>
        <w:snapToGrid w:val="0"/>
        <w:spacing w:beforeLines="50" w:afterLines="50" w:line="360" w:lineRule="auto"/>
        <w:ind w:right="23" w:rightChars="11"/>
        <w:jc w:val="center"/>
        <w:rPr>
          <w:rFonts w:ascii="宋体" w:hAnsi="宋体" w:cs="宋体"/>
          <w:b/>
          <w:color w:val="auto"/>
          <w:sz w:val="32"/>
          <w:szCs w:val="32"/>
          <w:highlight w:val="none"/>
        </w:rPr>
      </w:pPr>
      <w:r>
        <w:rPr>
          <w:rFonts w:hint="eastAsia" w:ascii="宋体" w:hAnsi="宋体" w:cs="宋体"/>
          <w:b/>
          <w:color w:val="auto"/>
          <w:sz w:val="32"/>
          <w:szCs w:val="32"/>
          <w:highlight w:val="none"/>
        </w:rPr>
        <w:t>第五章 响应文件组成</w:t>
      </w:r>
    </w:p>
    <w:p w14:paraId="0D11D72C">
      <w:pPr>
        <w:spacing w:line="360" w:lineRule="exact"/>
        <w:ind w:right="23" w:rightChars="11"/>
        <w:rPr>
          <w:rFonts w:ascii="宋体" w:hAnsi="宋体" w:cs="宋体"/>
        </w:rPr>
      </w:pPr>
      <w:r>
        <w:rPr>
          <w:rFonts w:hint="eastAsia" w:ascii="宋体" w:hAnsi="宋体" w:cs="宋体"/>
        </w:rPr>
        <w:t>供应商的响应文件应包含以下七个部分：</w:t>
      </w:r>
    </w:p>
    <w:p w14:paraId="7A9C43D4">
      <w:pPr>
        <w:adjustRightInd w:val="0"/>
        <w:snapToGrid w:val="0"/>
        <w:spacing w:line="360" w:lineRule="auto"/>
        <w:ind w:right="23" w:rightChars="11" w:firstLine="420"/>
        <w:jc w:val="left"/>
        <w:outlineLvl w:val="0"/>
        <w:rPr>
          <w:rFonts w:ascii="宋体" w:hAnsi="宋体" w:cs="宋体"/>
          <w:b/>
        </w:rPr>
      </w:pPr>
    </w:p>
    <w:p w14:paraId="06B05382">
      <w:pPr>
        <w:adjustRightInd w:val="0"/>
        <w:snapToGrid w:val="0"/>
        <w:spacing w:line="360" w:lineRule="auto"/>
        <w:ind w:right="23" w:rightChars="11" w:firstLine="420"/>
        <w:jc w:val="left"/>
        <w:outlineLvl w:val="0"/>
        <w:rPr>
          <w:rFonts w:ascii="宋体" w:hAnsi="宋体" w:cs="宋体"/>
          <w:b/>
        </w:rPr>
      </w:pPr>
      <w:r>
        <w:rPr>
          <w:rFonts w:hint="eastAsia" w:ascii="宋体" w:hAnsi="宋体" w:cs="宋体"/>
          <w:b/>
        </w:rPr>
        <w:t>一、 磋商响应声明</w:t>
      </w:r>
    </w:p>
    <w:p w14:paraId="73633C54">
      <w:pPr>
        <w:adjustRightInd w:val="0"/>
        <w:snapToGrid w:val="0"/>
        <w:spacing w:line="360" w:lineRule="auto"/>
        <w:ind w:right="23" w:rightChars="11" w:firstLine="420" w:firstLineChars="200"/>
        <w:jc w:val="left"/>
        <w:outlineLvl w:val="0"/>
        <w:rPr>
          <w:rFonts w:ascii="宋体" w:hAnsi="宋体" w:cs="宋体"/>
        </w:rPr>
      </w:pPr>
      <w:r>
        <w:rPr>
          <w:rFonts w:hint="eastAsia" w:ascii="宋体" w:hAnsi="宋体" w:cs="宋体"/>
        </w:rPr>
        <w:t>附件1：法定代表人身份证明(法定代表人参加磋商)</w:t>
      </w:r>
    </w:p>
    <w:p w14:paraId="07BEDA88">
      <w:pPr>
        <w:adjustRightInd w:val="0"/>
        <w:snapToGrid w:val="0"/>
        <w:spacing w:line="360" w:lineRule="auto"/>
        <w:ind w:right="23" w:rightChars="11" w:firstLine="420" w:firstLineChars="200"/>
        <w:jc w:val="left"/>
        <w:outlineLvl w:val="0"/>
        <w:rPr>
          <w:rFonts w:ascii="宋体" w:hAnsi="宋体" w:cs="宋体"/>
        </w:rPr>
      </w:pPr>
      <w:r>
        <w:rPr>
          <w:rFonts w:hint="eastAsia" w:ascii="宋体" w:hAnsi="宋体" w:cs="宋体"/>
        </w:rPr>
        <w:t>附件2：法定代表人授权书(委托代理人参加磋商)</w:t>
      </w:r>
    </w:p>
    <w:p w14:paraId="5AA50388">
      <w:pPr>
        <w:adjustRightInd w:val="0"/>
        <w:snapToGrid w:val="0"/>
        <w:spacing w:line="360" w:lineRule="auto"/>
        <w:ind w:right="23" w:rightChars="11" w:firstLine="420" w:firstLineChars="200"/>
        <w:jc w:val="left"/>
        <w:outlineLvl w:val="0"/>
        <w:rPr>
          <w:rFonts w:ascii="宋体" w:hAnsi="宋体" w:cs="宋体"/>
        </w:rPr>
      </w:pPr>
      <w:r>
        <w:rPr>
          <w:rFonts w:hint="eastAsia" w:ascii="宋体" w:hAnsi="宋体" w:cs="宋体"/>
        </w:rPr>
        <w:t>附件3：近三年内在经营活动中没有重大违法记录的书面声明</w:t>
      </w:r>
    </w:p>
    <w:p w14:paraId="4B368378">
      <w:pPr>
        <w:adjustRightInd w:val="0"/>
        <w:snapToGrid w:val="0"/>
        <w:spacing w:line="360" w:lineRule="auto"/>
        <w:ind w:right="23" w:rightChars="11" w:firstLine="420"/>
        <w:jc w:val="left"/>
        <w:outlineLvl w:val="0"/>
        <w:rPr>
          <w:rFonts w:ascii="宋体" w:hAnsi="宋体" w:cs="宋体"/>
          <w:b/>
        </w:rPr>
      </w:pPr>
      <w:r>
        <w:rPr>
          <w:rFonts w:hint="eastAsia" w:ascii="宋体" w:hAnsi="宋体" w:cs="宋体"/>
          <w:b/>
        </w:rPr>
        <w:t>二、保证金</w:t>
      </w:r>
    </w:p>
    <w:p w14:paraId="0F504D64">
      <w:pPr>
        <w:adjustRightInd w:val="0"/>
        <w:snapToGrid w:val="0"/>
        <w:spacing w:line="360" w:lineRule="auto"/>
        <w:ind w:right="23" w:rightChars="11" w:firstLine="420" w:firstLineChars="200"/>
        <w:jc w:val="left"/>
        <w:outlineLvl w:val="0"/>
        <w:rPr>
          <w:rFonts w:ascii="宋体" w:hAnsi="宋体" w:cs="宋体"/>
          <w:b/>
          <w:bCs/>
        </w:rPr>
      </w:pPr>
      <w:r>
        <w:rPr>
          <w:rFonts w:hint="eastAsia" w:ascii="宋体" w:hAnsi="宋体" w:cs="宋体"/>
        </w:rPr>
        <w:t>附件4：保证金退还申请书（本项目不需要提供）</w:t>
      </w:r>
    </w:p>
    <w:p w14:paraId="4AD868F6">
      <w:pPr>
        <w:numPr>
          <w:ilvl w:val="0"/>
          <w:numId w:val="1"/>
        </w:numPr>
        <w:adjustRightInd w:val="0"/>
        <w:snapToGrid w:val="0"/>
        <w:spacing w:line="360" w:lineRule="auto"/>
        <w:ind w:right="23" w:rightChars="11" w:firstLine="420"/>
        <w:jc w:val="left"/>
        <w:outlineLvl w:val="0"/>
        <w:rPr>
          <w:rFonts w:ascii="宋体" w:hAnsi="宋体" w:cs="宋体"/>
          <w:b/>
        </w:rPr>
      </w:pPr>
      <w:r>
        <w:rPr>
          <w:rFonts w:hint="eastAsia" w:ascii="宋体" w:hAnsi="宋体" w:cs="宋体"/>
          <w:b/>
        </w:rPr>
        <w:t>供应商的资格证明材料</w:t>
      </w:r>
    </w:p>
    <w:p w14:paraId="78B8B695">
      <w:pPr>
        <w:adjustRightInd w:val="0"/>
        <w:snapToGrid w:val="0"/>
        <w:spacing w:line="360" w:lineRule="auto"/>
        <w:ind w:right="23" w:rightChars="11" w:firstLine="420" w:firstLineChars="200"/>
        <w:jc w:val="left"/>
        <w:outlineLvl w:val="0"/>
        <w:rPr>
          <w:rFonts w:hint="eastAsia" w:ascii="宋体" w:hAnsi="宋体" w:eastAsia="宋体" w:cs="宋体"/>
        </w:rPr>
      </w:pPr>
      <w:r>
        <w:rPr>
          <w:rFonts w:hint="eastAsia" w:ascii="宋体" w:hAnsi="宋体" w:cs="宋体"/>
        </w:rPr>
        <w:t>附件4：磋商文</w:t>
      </w:r>
      <w:r>
        <w:rPr>
          <w:rFonts w:hint="eastAsia" w:ascii="宋体" w:hAnsi="宋体" w:eastAsia="宋体" w:cs="宋体"/>
        </w:rPr>
        <w:t>件规定的基本资格条件证明资料</w:t>
      </w:r>
    </w:p>
    <w:p w14:paraId="3B971DCA">
      <w:pPr>
        <w:adjustRightInd w:val="0"/>
        <w:snapToGrid w:val="0"/>
        <w:spacing w:line="360" w:lineRule="auto"/>
        <w:ind w:right="23" w:rightChars="11" w:firstLine="420" w:firstLineChars="200"/>
        <w:jc w:val="left"/>
        <w:outlineLvl w:val="0"/>
        <w:rPr>
          <w:rFonts w:hint="eastAsia" w:ascii="宋体" w:hAnsi="宋体" w:eastAsia="宋体" w:cs="宋体"/>
        </w:rPr>
      </w:pPr>
      <w:r>
        <w:rPr>
          <w:rFonts w:hint="eastAsia" w:ascii="宋体" w:hAnsi="宋体" w:eastAsia="宋体" w:cs="宋体"/>
        </w:rPr>
        <w:t>附件5  磋商文件规定的特定资格条件证明资料</w:t>
      </w:r>
    </w:p>
    <w:p w14:paraId="201A8220">
      <w:pPr>
        <w:pStyle w:val="11"/>
        <w:adjustRightInd w:val="0"/>
        <w:snapToGrid w:val="0"/>
        <w:spacing w:line="360" w:lineRule="auto"/>
        <w:ind w:right="23" w:rightChars="11" w:firstLine="420"/>
        <w:rPr>
          <w:rFonts w:hAnsi="宋体"/>
          <w:b/>
        </w:rPr>
      </w:pPr>
      <w:r>
        <w:rPr>
          <w:rFonts w:hint="eastAsia" w:hAnsi="宋体"/>
          <w:b/>
        </w:rPr>
        <w:t>四、技术/商务响应与偏离表</w:t>
      </w:r>
    </w:p>
    <w:p w14:paraId="034ED0AE">
      <w:pPr>
        <w:pStyle w:val="11"/>
        <w:adjustRightInd w:val="0"/>
        <w:snapToGrid w:val="0"/>
        <w:spacing w:line="360" w:lineRule="auto"/>
        <w:ind w:right="23" w:rightChars="11" w:firstLine="420"/>
        <w:rPr>
          <w:rFonts w:hAnsi="宋体"/>
          <w:b/>
        </w:rPr>
      </w:pPr>
      <w:r>
        <w:rPr>
          <w:rFonts w:hint="eastAsia" w:hAnsi="宋体"/>
          <w:b/>
        </w:rPr>
        <w:t>五、报价一览表及报价文件</w:t>
      </w:r>
    </w:p>
    <w:p w14:paraId="6235FAA1">
      <w:pPr>
        <w:adjustRightInd w:val="0"/>
        <w:snapToGrid w:val="0"/>
        <w:spacing w:line="360" w:lineRule="auto"/>
        <w:ind w:right="23" w:rightChars="11" w:firstLine="420" w:firstLineChars="200"/>
        <w:jc w:val="left"/>
        <w:outlineLvl w:val="0"/>
        <w:rPr>
          <w:rFonts w:ascii="宋体" w:hAnsi="宋体" w:cs="宋体"/>
        </w:rPr>
      </w:pPr>
      <w:r>
        <w:rPr>
          <w:rFonts w:hint="eastAsia" w:ascii="宋体" w:hAnsi="宋体" w:cs="宋体"/>
        </w:rPr>
        <w:t>附件</w:t>
      </w:r>
      <w:r>
        <w:rPr>
          <w:rFonts w:hint="eastAsia" w:ascii="宋体" w:hAnsi="宋体" w:cs="宋体"/>
          <w:lang w:val="en-US" w:eastAsia="zh-CN"/>
        </w:rPr>
        <w:t>6</w:t>
      </w:r>
      <w:r>
        <w:rPr>
          <w:rFonts w:hint="eastAsia" w:ascii="宋体" w:hAnsi="宋体" w:cs="宋体"/>
        </w:rPr>
        <w:t>：报价一览表</w:t>
      </w:r>
    </w:p>
    <w:p w14:paraId="3DF7E165">
      <w:pPr>
        <w:pStyle w:val="11"/>
        <w:adjustRightInd w:val="0"/>
        <w:snapToGrid w:val="0"/>
        <w:spacing w:line="360" w:lineRule="auto"/>
        <w:ind w:right="23" w:rightChars="11" w:firstLine="420"/>
        <w:rPr>
          <w:rFonts w:hAnsi="宋体"/>
          <w:b/>
        </w:rPr>
      </w:pPr>
      <w:r>
        <w:rPr>
          <w:rFonts w:hint="eastAsia" w:hAnsi="宋体"/>
          <w:b/>
        </w:rPr>
        <w:t>六、服务方案</w:t>
      </w:r>
    </w:p>
    <w:p w14:paraId="54DCEE33">
      <w:pPr>
        <w:pStyle w:val="11"/>
        <w:adjustRightInd w:val="0"/>
        <w:snapToGrid w:val="0"/>
        <w:spacing w:line="360" w:lineRule="auto"/>
        <w:ind w:right="23" w:rightChars="11" w:firstLine="420"/>
        <w:rPr>
          <w:rFonts w:hint="eastAsia" w:hAnsi="宋体"/>
          <w:b/>
        </w:rPr>
      </w:pPr>
      <w:r>
        <w:rPr>
          <w:rFonts w:hint="eastAsia" w:hAnsi="宋体"/>
          <w:b/>
        </w:rPr>
        <w:t>七、供应商认为需要提供的其他材料</w:t>
      </w:r>
    </w:p>
    <w:p w14:paraId="22A2AE98">
      <w:pPr>
        <w:pStyle w:val="11"/>
        <w:adjustRightInd w:val="0"/>
        <w:snapToGrid w:val="0"/>
        <w:spacing w:line="360" w:lineRule="auto"/>
        <w:ind w:right="23" w:rightChars="11" w:firstLine="420"/>
        <w:rPr>
          <w:rFonts w:hint="eastAsia" w:hAnsi="宋体"/>
          <w:b/>
        </w:rPr>
      </w:pPr>
      <w:r>
        <w:rPr>
          <w:rFonts w:hint="eastAsia" w:hAnsi="宋体"/>
          <w:b/>
          <w:lang w:val="en-US" w:eastAsia="zh-CN"/>
        </w:rPr>
        <w:t>八、</w:t>
      </w:r>
      <w:r>
        <w:rPr>
          <w:rFonts w:hint="eastAsia" w:hAnsi="宋体"/>
          <w:b/>
        </w:rPr>
        <w:t>最后报价</w:t>
      </w:r>
    </w:p>
    <w:p w14:paraId="0628EFFE">
      <w:pPr>
        <w:spacing w:line="360" w:lineRule="exact"/>
        <w:ind w:right="23" w:rightChars="11" w:firstLine="420"/>
        <w:rPr>
          <w:rFonts w:ascii="宋体" w:hAnsi="宋体" w:cs="宋体"/>
          <w:b/>
        </w:rPr>
      </w:pPr>
    </w:p>
    <w:p w14:paraId="733465F5">
      <w:pPr>
        <w:spacing w:line="360" w:lineRule="exact"/>
        <w:ind w:right="23" w:rightChars="11" w:firstLine="420"/>
        <w:rPr>
          <w:rFonts w:ascii="宋体" w:hAnsi="宋体" w:cs="宋体"/>
          <w:b/>
        </w:rPr>
      </w:pPr>
    </w:p>
    <w:p w14:paraId="68FF94A4">
      <w:pPr>
        <w:spacing w:line="360" w:lineRule="exact"/>
        <w:ind w:right="23" w:rightChars="11" w:firstLine="420"/>
        <w:rPr>
          <w:rFonts w:ascii="宋体" w:hAnsi="宋体" w:cs="宋体"/>
          <w:b/>
        </w:rPr>
      </w:pPr>
    </w:p>
    <w:p w14:paraId="23E17275">
      <w:pPr>
        <w:spacing w:line="360" w:lineRule="exact"/>
        <w:ind w:right="23" w:rightChars="11"/>
        <w:rPr>
          <w:rFonts w:ascii="宋体" w:hAnsi="宋体" w:cs="宋体"/>
          <w:b/>
          <w:color w:val="auto"/>
          <w:highlight w:val="none"/>
        </w:rPr>
      </w:pPr>
    </w:p>
    <w:p w14:paraId="4364604B">
      <w:pPr>
        <w:spacing w:line="360" w:lineRule="exact"/>
        <w:ind w:right="23" w:rightChars="11"/>
        <w:rPr>
          <w:rFonts w:ascii="宋体" w:hAnsi="宋体" w:cs="宋体"/>
          <w:b/>
          <w:color w:val="auto"/>
          <w:highlight w:val="none"/>
        </w:rPr>
      </w:pPr>
    </w:p>
    <w:p w14:paraId="2240E25F">
      <w:pPr>
        <w:spacing w:line="360" w:lineRule="exact"/>
        <w:ind w:right="23" w:rightChars="11"/>
        <w:rPr>
          <w:rFonts w:ascii="宋体" w:hAnsi="宋体" w:cs="宋体"/>
          <w:b/>
          <w:color w:val="auto"/>
          <w:highlight w:val="none"/>
        </w:rPr>
      </w:pPr>
    </w:p>
    <w:p w14:paraId="0FABB605">
      <w:pPr>
        <w:spacing w:line="360" w:lineRule="exact"/>
        <w:ind w:right="23" w:rightChars="11"/>
        <w:rPr>
          <w:rFonts w:ascii="宋体" w:hAnsi="宋体" w:cs="宋体"/>
          <w:b/>
          <w:color w:val="auto"/>
          <w:highlight w:val="none"/>
        </w:rPr>
      </w:pPr>
    </w:p>
    <w:p w14:paraId="5556B937">
      <w:pPr>
        <w:spacing w:line="360" w:lineRule="exact"/>
        <w:ind w:right="23" w:rightChars="11"/>
        <w:rPr>
          <w:rFonts w:ascii="宋体" w:hAnsi="宋体" w:cs="宋体"/>
          <w:b/>
          <w:color w:val="auto"/>
          <w:highlight w:val="none"/>
        </w:rPr>
      </w:pPr>
    </w:p>
    <w:p w14:paraId="0F2F1BEC">
      <w:pPr>
        <w:spacing w:line="360" w:lineRule="exact"/>
        <w:ind w:right="23" w:rightChars="11"/>
        <w:rPr>
          <w:rFonts w:ascii="宋体" w:hAnsi="宋体" w:cs="宋体"/>
          <w:b/>
          <w:color w:val="auto"/>
          <w:highlight w:val="none"/>
        </w:rPr>
      </w:pPr>
    </w:p>
    <w:p w14:paraId="7FD057C1">
      <w:pPr>
        <w:spacing w:line="360" w:lineRule="exact"/>
        <w:ind w:right="23" w:rightChars="11"/>
        <w:rPr>
          <w:rFonts w:ascii="宋体" w:hAnsi="宋体" w:cs="宋体"/>
          <w:b/>
          <w:color w:val="auto"/>
          <w:highlight w:val="none"/>
        </w:rPr>
      </w:pPr>
    </w:p>
    <w:p w14:paraId="278DEE74">
      <w:pPr>
        <w:spacing w:line="360" w:lineRule="exact"/>
        <w:ind w:right="23" w:rightChars="11"/>
        <w:rPr>
          <w:rFonts w:ascii="宋体" w:hAnsi="宋体" w:cs="宋体"/>
          <w:b/>
          <w:color w:val="auto"/>
          <w:highlight w:val="none"/>
        </w:rPr>
      </w:pPr>
    </w:p>
    <w:p w14:paraId="3BDEAA9D">
      <w:pPr>
        <w:spacing w:line="360" w:lineRule="exact"/>
        <w:ind w:right="23" w:rightChars="11"/>
        <w:rPr>
          <w:rFonts w:ascii="宋体" w:hAnsi="宋体" w:cs="宋体"/>
          <w:b/>
          <w:color w:val="auto"/>
          <w:highlight w:val="none"/>
        </w:rPr>
      </w:pPr>
    </w:p>
    <w:p w14:paraId="28C0EA86">
      <w:pPr>
        <w:pStyle w:val="35"/>
        <w:rPr>
          <w:rFonts w:ascii="宋体" w:hAnsi="宋体" w:eastAsia="宋体" w:cs="宋体"/>
          <w:color w:val="auto"/>
          <w:highlight w:val="none"/>
        </w:rPr>
      </w:pPr>
    </w:p>
    <w:p w14:paraId="08E8437E">
      <w:pPr>
        <w:pStyle w:val="35"/>
        <w:rPr>
          <w:rFonts w:ascii="宋体" w:hAnsi="宋体" w:eastAsia="宋体" w:cs="宋体"/>
          <w:color w:val="auto"/>
          <w:highlight w:val="none"/>
        </w:rPr>
      </w:pPr>
    </w:p>
    <w:p w14:paraId="0F780461">
      <w:pPr>
        <w:spacing w:line="360" w:lineRule="exact"/>
        <w:ind w:right="23" w:rightChars="11"/>
        <w:rPr>
          <w:rFonts w:ascii="宋体" w:hAnsi="宋体" w:cs="宋体"/>
          <w:b/>
          <w:color w:val="auto"/>
          <w:highlight w:val="none"/>
        </w:rPr>
      </w:pPr>
    </w:p>
    <w:p w14:paraId="471796B6">
      <w:pPr>
        <w:spacing w:line="360" w:lineRule="exact"/>
        <w:ind w:right="23" w:rightChars="11"/>
        <w:rPr>
          <w:rFonts w:ascii="宋体" w:hAnsi="宋体" w:cs="宋体"/>
          <w:b/>
          <w:color w:val="auto"/>
          <w:highlight w:val="none"/>
        </w:rPr>
      </w:pPr>
    </w:p>
    <w:p w14:paraId="1DCB0F5D">
      <w:pPr>
        <w:pStyle w:val="35"/>
        <w:rPr>
          <w:color w:val="auto"/>
          <w:highlight w:val="none"/>
        </w:rPr>
      </w:pPr>
    </w:p>
    <w:p w14:paraId="51154690">
      <w:pPr>
        <w:pStyle w:val="35"/>
        <w:rPr>
          <w:color w:val="auto"/>
          <w:highlight w:val="none"/>
        </w:rPr>
      </w:pPr>
    </w:p>
    <w:p w14:paraId="54D617B7">
      <w:pPr>
        <w:pStyle w:val="35"/>
        <w:rPr>
          <w:color w:val="auto"/>
          <w:highlight w:val="none"/>
        </w:rPr>
      </w:pPr>
    </w:p>
    <w:p w14:paraId="5623A2E9">
      <w:pPr>
        <w:adjustRightInd w:val="0"/>
        <w:snapToGrid w:val="0"/>
        <w:spacing w:line="360" w:lineRule="auto"/>
        <w:ind w:right="23" w:rightChars="11"/>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一、磋商响应声明</w:t>
      </w:r>
    </w:p>
    <w:p w14:paraId="60391AB6">
      <w:pPr>
        <w:adjustRightInd w:val="0"/>
        <w:snapToGrid w:val="0"/>
        <w:spacing w:line="360" w:lineRule="auto"/>
        <w:ind w:right="23" w:rightChars="11"/>
        <w:rPr>
          <w:rFonts w:ascii="宋体" w:hAnsi="宋体" w:cs="宋体"/>
        </w:rPr>
      </w:pPr>
      <w:r>
        <w:rPr>
          <w:rFonts w:hint="eastAsia" w:ascii="宋体" w:hAnsi="宋体" w:cs="宋体"/>
        </w:rPr>
        <w:t>致</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(采购人或采购代理机构)：</w:t>
      </w:r>
    </w:p>
    <w:p w14:paraId="5E830C22">
      <w:pPr>
        <w:adjustRightInd w:val="0"/>
        <w:snapToGrid w:val="0"/>
        <w:spacing w:line="360" w:lineRule="auto"/>
        <w:ind w:right="23" w:rightChars="11" w:firstLine="420" w:firstLineChars="200"/>
        <w:rPr>
          <w:rFonts w:ascii="宋体" w:hAnsi="宋体" w:cs="宋体"/>
        </w:rPr>
      </w:pPr>
      <w:r>
        <w:rPr>
          <w:rFonts w:hint="eastAsia" w:ascii="宋体" w:hAnsi="宋体" w:cs="宋体"/>
        </w:rPr>
        <w:t>我方己仔细研究了</w:t>
      </w:r>
      <w:r>
        <w:rPr>
          <w:rFonts w:hint="eastAsia" w:ascii="宋体" w:hAnsi="宋体" w:cs="宋体"/>
          <w:u w:val="single"/>
        </w:rPr>
        <w:t xml:space="preserve">                 (</w:t>
      </w:r>
      <w:r>
        <w:rPr>
          <w:rFonts w:hint="eastAsia" w:ascii="宋体" w:hAnsi="宋体" w:cs="宋体"/>
        </w:rPr>
        <w:t>项目名称)的竞争性磋商文件（采购代理编号：）的全部内容，知悉参加竞争性磋商的风险，我方承诺接受磋商文件的全部条款且无任何异议。</w:t>
      </w:r>
    </w:p>
    <w:p w14:paraId="64BE413E">
      <w:pPr>
        <w:pStyle w:val="11"/>
        <w:adjustRightInd w:val="0"/>
        <w:snapToGrid w:val="0"/>
        <w:spacing w:line="360" w:lineRule="auto"/>
        <w:ind w:right="23" w:rightChars="11" w:firstLine="420" w:firstLineChars="200"/>
        <w:rPr>
          <w:rFonts w:hAnsi="宋体"/>
        </w:rPr>
      </w:pPr>
      <w:r>
        <w:rPr>
          <w:rFonts w:hint="eastAsia" w:hAnsi="宋体"/>
        </w:rPr>
        <w:t>一、我方同意在磋商文件中规定的提交首次响应文件截止时间起</w:t>
      </w:r>
      <w:r>
        <w:rPr>
          <w:rFonts w:hint="eastAsia" w:hAnsi="宋体"/>
          <w:u w:val="single"/>
        </w:rPr>
        <w:t xml:space="preserve">  60  </w:t>
      </w:r>
      <w:r>
        <w:rPr>
          <w:rFonts w:hint="eastAsia" w:hAnsi="宋体"/>
        </w:rPr>
        <w:t>日内(响应文件有效期)遵守本响应文件中的承诺且在此期限期满之前均具有法律约束力。</w:t>
      </w:r>
    </w:p>
    <w:p w14:paraId="15ECE0D9">
      <w:pPr>
        <w:pStyle w:val="11"/>
        <w:adjustRightInd w:val="0"/>
        <w:snapToGrid w:val="0"/>
        <w:spacing w:line="360" w:lineRule="auto"/>
        <w:ind w:right="23" w:rightChars="11" w:firstLine="420" w:firstLineChars="200"/>
        <w:rPr>
          <w:rFonts w:hAnsi="宋体"/>
          <w:bCs/>
        </w:rPr>
      </w:pPr>
      <w:r>
        <w:rPr>
          <w:rFonts w:hint="eastAsia" w:hAnsi="宋体"/>
        </w:rPr>
        <w:t>二、我方提交纸质响应文件正本一份、副本一式贰份，电子文件（U盘）一份，并保证响应文件提供的数据和材料是真实、准确的。否则，愿承担相关</w:t>
      </w:r>
      <w:r>
        <w:rPr>
          <w:rFonts w:hint="eastAsia" w:hAnsi="宋体"/>
          <w:bCs/>
        </w:rPr>
        <w:t>的法律责任。</w:t>
      </w:r>
    </w:p>
    <w:p w14:paraId="5C41EFD6">
      <w:pPr>
        <w:pStyle w:val="11"/>
        <w:adjustRightInd w:val="0"/>
        <w:snapToGrid w:val="0"/>
        <w:spacing w:line="360" w:lineRule="auto"/>
        <w:ind w:right="23" w:rightChars="11" w:firstLine="420" w:firstLineChars="200"/>
        <w:rPr>
          <w:rFonts w:hAnsi="宋体"/>
        </w:rPr>
      </w:pPr>
      <w:r>
        <w:rPr>
          <w:rFonts w:hint="eastAsia" w:hAnsi="宋体"/>
        </w:rPr>
        <w:t>三、我方愿意向贵方提供任何与本项采购有关的数据、情况和技术资料。若贵方需要，我方愿意提供我方作出的一切承诺的证明材料。</w:t>
      </w:r>
    </w:p>
    <w:p w14:paraId="6C8A5470">
      <w:pPr>
        <w:pStyle w:val="11"/>
        <w:adjustRightInd w:val="0"/>
        <w:snapToGrid w:val="0"/>
        <w:spacing w:line="360" w:lineRule="auto"/>
        <w:ind w:right="23" w:rightChars="11" w:firstLine="420" w:firstLineChars="200"/>
        <w:rPr>
          <w:rFonts w:hAnsi="宋体"/>
        </w:rPr>
      </w:pPr>
      <w:r>
        <w:rPr>
          <w:rFonts w:hint="eastAsia" w:hAnsi="宋体"/>
        </w:rPr>
        <w:t>四、我方愿意按磋商文件规定和磋商小组要求重新提交响应文件和最后报价。</w:t>
      </w:r>
    </w:p>
    <w:p w14:paraId="3F8409C2">
      <w:pPr>
        <w:pStyle w:val="11"/>
        <w:adjustRightInd w:val="0"/>
        <w:snapToGrid w:val="0"/>
        <w:spacing w:line="360" w:lineRule="auto"/>
        <w:ind w:right="23" w:rightChars="11" w:firstLine="420" w:firstLineChars="200"/>
        <w:rPr>
          <w:rFonts w:hAnsi="宋体"/>
        </w:rPr>
      </w:pPr>
      <w:r>
        <w:rPr>
          <w:rFonts w:hint="eastAsia" w:hAnsi="宋体"/>
        </w:rPr>
        <w:t>五、我方承诺遵守相关法律的有关规定，保证在获得成交资格后，按照磋商文件确定的事项签订采购合同，履行双方所签订的合同，并承担合同规定的责任和义务。</w:t>
      </w:r>
    </w:p>
    <w:p w14:paraId="2B42F46E">
      <w:pPr>
        <w:adjustRightInd w:val="0"/>
        <w:snapToGrid w:val="0"/>
        <w:spacing w:line="360" w:lineRule="auto"/>
        <w:ind w:right="23" w:rightChars="11"/>
        <w:rPr>
          <w:rFonts w:ascii="宋体" w:hAnsi="宋体" w:cs="宋体"/>
        </w:rPr>
      </w:pPr>
      <w:r>
        <w:rPr>
          <w:rFonts w:hint="eastAsia" w:ascii="宋体" w:hAnsi="宋体" w:cs="宋体"/>
          <w:bCs/>
        </w:rPr>
        <w:t>附件1：</w:t>
      </w:r>
      <w:r>
        <w:rPr>
          <w:rFonts w:hint="eastAsia" w:ascii="宋体" w:hAnsi="宋体" w:cs="宋体"/>
        </w:rPr>
        <w:t>法定代表人身份证明(法定代表人参加磋商)</w:t>
      </w:r>
    </w:p>
    <w:p w14:paraId="7B4C60BD">
      <w:pPr>
        <w:adjustRightInd w:val="0"/>
        <w:snapToGrid w:val="0"/>
        <w:spacing w:line="360" w:lineRule="auto"/>
        <w:ind w:right="23" w:rightChars="11"/>
        <w:rPr>
          <w:rFonts w:ascii="宋体" w:hAnsi="宋体" w:cs="宋体"/>
        </w:rPr>
      </w:pPr>
      <w:r>
        <w:rPr>
          <w:rFonts w:hint="eastAsia" w:ascii="宋体" w:hAnsi="宋体" w:cs="宋体"/>
          <w:bCs/>
        </w:rPr>
        <w:t>附件2</w:t>
      </w:r>
      <w:r>
        <w:rPr>
          <w:rFonts w:hint="eastAsia" w:ascii="宋体" w:hAnsi="宋体" w:cs="宋体"/>
        </w:rPr>
        <w:t>：法定代表人授权书(委托代理人参加磋商)</w:t>
      </w:r>
    </w:p>
    <w:p w14:paraId="2345B6CC">
      <w:pPr>
        <w:pStyle w:val="11"/>
        <w:adjustRightInd w:val="0"/>
        <w:snapToGrid w:val="0"/>
        <w:spacing w:line="360" w:lineRule="auto"/>
        <w:ind w:right="23" w:rightChars="11"/>
        <w:rPr>
          <w:rFonts w:hAnsi="宋体"/>
        </w:rPr>
      </w:pPr>
    </w:p>
    <w:p w14:paraId="7A9CA20F">
      <w:pPr>
        <w:pStyle w:val="11"/>
        <w:adjustRightInd w:val="0"/>
        <w:snapToGrid w:val="0"/>
        <w:spacing w:line="360" w:lineRule="auto"/>
        <w:ind w:right="23" w:rightChars="11"/>
        <w:rPr>
          <w:rFonts w:hAnsi="宋体"/>
        </w:rPr>
      </w:pPr>
    </w:p>
    <w:p w14:paraId="0AA8F02A">
      <w:pPr>
        <w:pStyle w:val="11"/>
        <w:adjustRightInd w:val="0"/>
        <w:snapToGrid w:val="0"/>
        <w:spacing w:line="360" w:lineRule="auto"/>
        <w:ind w:right="23" w:rightChars="11"/>
        <w:rPr>
          <w:rFonts w:hAnsi="宋体"/>
        </w:rPr>
      </w:pPr>
      <w:r>
        <w:rPr>
          <w:rFonts w:hint="eastAsia" w:hAnsi="宋体"/>
        </w:rPr>
        <w:t>供应商名称(盖单位章)：</w:t>
      </w:r>
    </w:p>
    <w:p w14:paraId="32B91229">
      <w:pPr>
        <w:adjustRightInd w:val="0"/>
        <w:snapToGrid w:val="0"/>
        <w:spacing w:line="360" w:lineRule="auto"/>
        <w:ind w:right="23" w:rightChars="11"/>
        <w:rPr>
          <w:rFonts w:ascii="宋体" w:hAnsi="宋体" w:cs="宋体"/>
        </w:rPr>
      </w:pPr>
      <w:r>
        <w:rPr>
          <w:rFonts w:hint="eastAsia" w:ascii="宋体" w:hAnsi="宋体" w:cs="宋体"/>
        </w:rPr>
        <w:t>法定代表人或其委托代理人 (签字)：</w:t>
      </w:r>
    </w:p>
    <w:p w14:paraId="2C97C9CD">
      <w:pPr>
        <w:adjustRightInd w:val="0"/>
        <w:snapToGrid w:val="0"/>
        <w:spacing w:line="360" w:lineRule="auto"/>
        <w:ind w:right="23" w:rightChars="11"/>
        <w:rPr>
          <w:rFonts w:ascii="宋体" w:hAnsi="宋体" w:cs="宋体"/>
        </w:rPr>
      </w:pPr>
      <w:r>
        <w:rPr>
          <w:rFonts w:hint="eastAsia" w:ascii="宋体" w:hAnsi="宋体" w:cs="宋体"/>
        </w:rPr>
        <w:t>日期：     年    月    日</w:t>
      </w:r>
    </w:p>
    <w:p w14:paraId="17EF822C">
      <w:pPr>
        <w:adjustRightInd w:val="0"/>
        <w:snapToGrid w:val="0"/>
        <w:spacing w:line="360" w:lineRule="auto"/>
        <w:ind w:right="23" w:rightChars="11" w:firstLine="562"/>
        <w:rPr>
          <w:rFonts w:ascii="宋体" w:hAnsi="宋体" w:cs="宋体"/>
          <w:bCs/>
          <w:sz w:val="28"/>
          <w:szCs w:val="28"/>
        </w:rPr>
      </w:pPr>
    </w:p>
    <w:p w14:paraId="49404E0B">
      <w:pPr>
        <w:adjustRightInd w:val="0"/>
        <w:snapToGrid w:val="0"/>
        <w:spacing w:line="360" w:lineRule="auto"/>
        <w:ind w:right="23" w:rightChars="11" w:firstLine="562"/>
        <w:rPr>
          <w:rFonts w:ascii="宋体" w:hAnsi="宋体" w:cs="宋体"/>
          <w:bCs/>
          <w:sz w:val="28"/>
          <w:szCs w:val="28"/>
        </w:rPr>
      </w:pPr>
    </w:p>
    <w:p w14:paraId="09F393D1">
      <w:pPr>
        <w:adjustRightInd w:val="0"/>
        <w:snapToGrid w:val="0"/>
        <w:spacing w:line="360" w:lineRule="auto"/>
        <w:ind w:right="23" w:rightChars="11" w:firstLine="562"/>
        <w:rPr>
          <w:rFonts w:ascii="宋体" w:hAnsi="宋体" w:cs="宋体"/>
          <w:bCs/>
          <w:sz w:val="28"/>
          <w:szCs w:val="28"/>
        </w:rPr>
      </w:pPr>
    </w:p>
    <w:p w14:paraId="441790ED">
      <w:pPr>
        <w:adjustRightInd w:val="0"/>
        <w:snapToGrid w:val="0"/>
        <w:spacing w:line="360" w:lineRule="auto"/>
        <w:ind w:right="23" w:rightChars="11" w:firstLine="562"/>
        <w:rPr>
          <w:rFonts w:ascii="宋体" w:hAnsi="宋体" w:cs="宋体"/>
          <w:bCs/>
          <w:sz w:val="28"/>
          <w:szCs w:val="28"/>
        </w:rPr>
      </w:pPr>
    </w:p>
    <w:p w14:paraId="3DFD33D3">
      <w:pPr>
        <w:adjustRightInd w:val="0"/>
        <w:snapToGrid w:val="0"/>
        <w:spacing w:line="360" w:lineRule="auto"/>
        <w:ind w:right="23" w:rightChars="11" w:firstLine="562"/>
        <w:rPr>
          <w:rFonts w:ascii="宋体" w:hAnsi="宋体" w:cs="宋体"/>
          <w:bCs/>
          <w:sz w:val="28"/>
          <w:szCs w:val="28"/>
        </w:rPr>
      </w:pPr>
    </w:p>
    <w:p w14:paraId="178CE875">
      <w:pPr>
        <w:adjustRightInd w:val="0"/>
        <w:snapToGrid w:val="0"/>
        <w:spacing w:line="360" w:lineRule="auto"/>
        <w:ind w:right="23" w:rightChars="11" w:firstLine="562"/>
        <w:rPr>
          <w:rFonts w:ascii="宋体" w:hAnsi="宋体" w:cs="宋体"/>
          <w:bCs/>
          <w:sz w:val="28"/>
          <w:szCs w:val="28"/>
        </w:rPr>
      </w:pPr>
    </w:p>
    <w:p w14:paraId="0F515580">
      <w:pPr>
        <w:adjustRightInd w:val="0"/>
        <w:snapToGrid w:val="0"/>
        <w:spacing w:line="360" w:lineRule="auto"/>
        <w:ind w:right="23" w:rightChars="11" w:firstLine="562"/>
        <w:rPr>
          <w:rFonts w:ascii="宋体" w:hAnsi="宋体" w:cs="宋体"/>
          <w:bCs/>
          <w:sz w:val="28"/>
          <w:szCs w:val="28"/>
        </w:rPr>
      </w:pPr>
    </w:p>
    <w:p w14:paraId="5FBE71E7">
      <w:pPr>
        <w:pStyle w:val="35"/>
        <w:rPr>
          <w:rFonts w:ascii="宋体" w:hAnsi="宋体" w:eastAsia="宋体" w:cs="宋体"/>
        </w:rPr>
      </w:pPr>
    </w:p>
    <w:p w14:paraId="3E82CC4B">
      <w:pPr>
        <w:pStyle w:val="35"/>
        <w:rPr>
          <w:rFonts w:ascii="宋体" w:hAnsi="宋体" w:eastAsia="宋体" w:cs="宋体"/>
        </w:rPr>
      </w:pPr>
    </w:p>
    <w:p w14:paraId="77902F95">
      <w:pPr>
        <w:adjustRightInd w:val="0"/>
        <w:snapToGrid w:val="0"/>
        <w:spacing w:line="360" w:lineRule="auto"/>
        <w:ind w:right="23" w:rightChars="11" w:firstLine="562"/>
        <w:rPr>
          <w:rFonts w:ascii="宋体" w:hAnsi="宋体" w:cs="宋体"/>
          <w:bCs/>
          <w:sz w:val="28"/>
          <w:szCs w:val="28"/>
        </w:rPr>
      </w:pPr>
    </w:p>
    <w:p w14:paraId="7616D0B5">
      <w:pPr>
        <w:adjustRightInd w:val="0"/>
        <w:snapToGrid w:val="0"/>
        <w:spacing w:line="360" w:lineRule="auto"/>
        <w:ind w:right="23" w:rightChars="11" w:firstLine="562"/>
        <w:rPr>
          <w:rFonts w:ascii="宋体" w:hAnsi="宋体" w:cs="宋体"/>
          <w:bCs/>
          <w:sz w:val="28"/>
          <w:szCs w:val="28"/>
        </w:rPr>
      </w:pPr>
    </w:p>
    <w:p w14:paraId="61110B5D">
      <w:pPr>
        <w:rPr>
          <w:rFonts w:hint="eastAsia" w:ascii="宋体" w:hAnsi="宋体" w:cs="宋体"/>
          <w:bCs/>
          <w:sz w:val="24"/>
        </w:rPr>
      </w:pPr>
    </w:p>
    <w:p w14:paraId="191B6BA0">
      <w:pPr>
        <w:adjustRightInd w:val="0"/>
        <w:snapToGrid w:val="0"/>
        <w:spacing w:line="360" w:lineRule="auto"/>
        <w:ind w:right="23" w:rightChars="11" w:firstLine="482"/>
        <w:rPr>
          <w:rFonts w:ascii="宋体" w:hAnsi="宋体" w:cs="宋体"/>
          <w:bCs/>
          <w:sz w:val="24"/>
        </w:rPr>
      </w:pPr>
      <w:r>
        <w:rPr>
          <w:rFonts w:hint="eastAsia" w:ascii="宋体" w:hAnsi="宋体" w:cs="宋体"/>
          <w:bCs/>
          <w:sz w:val="24"/>
        </w:rPr>
        <w:t>附件1：</w:t>
      </w:r>
    </w:p>
    <w:p w14:paraId="6C1E6689">
      <w:pPr>
        <w:adjustRightInd w:val="0"/>
        <w:snapToGrid w:val="0"/>
        <w:spacing w:line="360" w:lineRule="auto"/>
        <w:ind w:right="23" w:rightChars="11" w:firstLine="560"/>
        <w:jc w:val="center"/>
        <w:rPr>
          <w:rFonts w:ascii="宋体" w:hAnsi="宋体" w:cs="宋体"/>
          <w:b/>
          <w:sz w:val="28"/>
          <w:szCs w:val="28"/>
        </w:rPr>
      </w:pPr>
      <w:r>
        <w:rPr>
          <w:rFonts w:hint="eastAsia" w:ascii="宋体" w:hAnsi="宋体" w:cs="宋体"/>
          <w:b/>
          <w:sz w:val="28"/>
          <w:szCs w:val="28"/>
        </w:rPr>
        <w:t>法定代表人身份证明(法定代表人参加磋商)</w:t>
      </w:r>
    </w:p>
    <w:p w14:paraId="6B8AFB41">
      <w:pPr>
        <w:snapToGrid w:val="0"/>
        <w:spacing w:line="480" w:lineRule="auto"/>
        <w:ind w:right="23" w:rightChars="11"/>
        <w:rPr>
          <w:rFonts w:ascii="宋体" w:hAnsi="宋体" w:cs="宋体"/>
        </w:rPr>
      </w:pPr>
    </w:p>
    <w:p w14:paraId="6B1958B9">
      <w:pPr>
        <w:autoSpaceDE w:val="0"/>
        <w:autoSpaceDN w:val="0"/>
        <w:adjustRightInd w:val="0"/>
        <w:snapToGrid w:val="0"/>
        <w:spacing w:before="156" w:beforeLines="50" w:line="360" w:lineRule="auto"/>
        <w:ind w:right="23" w:rightChars="11"/>
        <w:jc w:val="left"/>
        <w:rPr>
          <w:rFonts w:ascii="宋体" w:hAnsi="宋体" w:cs="宋体"/>
          <w:kern w:val="0"/>
        </w:rPr>
      </w:pPr>
      <w:r>
        <w:rPr>
          <w:rFonts w:hint="eastAsia" w:ascii="宋体" w:hAnsi="宋体" w:cs="宋体"/>
        </w:rPr>
        <w:t>供应商</w:t>
      </w:r>
      <w:r>
        <w:rPr>
          <w:rFonts w:hint="eastAsia" w:ascii="宋体" w:hAnsi="宋体" w:cs="宋体"/>
          <w:kern w:val="0"/>
        </w:rPr>
        <w:t>名称：</w:t>
      </w:r>
    </w:p>
    <w:p w14:paraId="4F1E8FA4">
      <w:pPr>
        <w:autoSpaceDE w:val="0"/>
        <w:autoSpaceDN w:val="0"/>
        <w:adjustRightInd w:val="0"/>
        <w:snapToGrid w:val="0"/>
        <w:spacing w:before="156" w:beforeLines="50" w:line="360" w:lineRule="auto"/>
        <w:ind w:right="23" w:rightChars="11"/>
        <w:jc w:val="left"/>
        <w:rPr>
          <w:rFonts w:ascii="宋体" w:hAnsi="宋体" w:cs="宋体"/>
          <w:kern w:val="0"/>
        </w:rPr>
      </w:pPr>
      <w:r>
        <w:rPr>
          <w:rFonts w:hint="eastAsia" w:ascii="宋体" w:hAnsi="宋体" w:cs="宋体"/>
          <w:kern w:val="0"/>
        </w:rPr>
        <w:t>注册号：</w:t>
      </w:r>
    </w:p>
    <w:p w14:paraId="42C5A215">
      <w:pPr>
        <w:autoSpaceDE w:val="0"/>
        <w:autoSpaceDN w:val="0"/>
        <w:adjustRightInd w:val="0"/>
        <w:snapToGrid w:val="0"/>
        <w:spacing w:before="156" w:beforeLines="50" w:line="360" w:lineRule="auto"/>
        <w:ind w:right="23" w:rightChars="11"/>
        <w:jc w:val="left"/>
        <w:rPr>
          <w:rFonts w:ascii="宋体" w:hAnsi="宋体" w:cs="宋体"/>
          <w:kern w:val="0"/>
        </w:rPr>
      </w:pPr>
      <w:r>
        <w:rPr>
          <w:rFonts w:hint="eastAsia" w:ascii="宋体" w:hAnsi="宋体" w:cs="宋体"/>
          <w:kern w:val="0"/>
        </w:rPr>
        <w:t>注册地址：</w:t>
      </w:r>
    </w:p>
    <w:p w14:paraId="01E180C8">
      <w:pPr>
        <w:autoSpaceDE w:val="0"/>
        <w:autoSpaceDN w:val="0"/>
        <w:adjustRightInd w:val="0"/>
        <w:snapToGrid w:val="0"/>
        <w:spacing w:before="156" w:beforeLines="50" w:line="360" w:lineRule="auto"/>
        <w:ind w:right="23" w:rightChars="11"/>
        <w:jc w:val="left"/>
        <w:rPr>
          <w:rFonts w:ascii="宋体" w:hAnsi="宋体" w:cs="宋体"/>
          <w:kern w:val="0"/>
        </w:rPr>
      </w:pPr>
      <w:r>
        <w:rPr>
          <w:rFonts w:hint="eastAsia" w:ascii="宋体" w:hAnsi="宋体" w:cs="宋体"/>
          <w:kern w:val="0"/>
        </w:rPr>
        <w:t>成立时间： 年 月 日</w:t>
      </w:r>
    </w:p>
    <w:p w14:paraId="15A8EF6A">
      <w:pPr>
        <w:autoSpaceDE w:val="0"/>
        <w:autoSpaceDN w:val="0"/>
        <w:adjustRightInd w:val="0"/>
        <w:snapToGrid w:val="0"/>
        <w:spacing w:before="156" w:beforeLines="50" w:line="360" w:lineRule="auto"/>
        <w:ind w:right="23" w:rightChars="11"/>
        <w:jc w:val="left"/>
        <w:rPr>
          <w:rFonts w:ascii="宋体" w:hAnsi="宋体" w:cs="宋体"/>
          <w:kern w:val="0"/>
          <w:u w:val="single"/>
        </w:rPr>
      </w:pPr>
      <w:r>
        <w:rPr>
          <w:rFonts w:hint="eastAsia" w:ascii="宋体" w:hAnsi="宋体" w:cs="宋体"/>
          <w:kern w:val="0"/>
        </w:rPr>
        <w:t>经营期限：</w:t>
      </w:r>
    </w:p>
    <w:p w14:paraId="78C15336">
      <w:pPr>
        <w:autoSpaceDE w:val="0"/>
        <w:autoSpaceDN w:val="0"/>
        <w:adjustRightInd w:val="0"/>
        <w:snapToGrid w:val="0"/>
        <w:spacing w:before="156" w:beforeLines="50" w:line="360" w:lineRule="auto"/>
        <w:ind w:right="23" w:rightChars="11"/>
        <w:jc w:val="left"/>
        <w:rPr>
          <w:rFonts w:ascii="宋体" w:hAnsi="宋体" w:cs="宋体"/>
          <w:kern w:val="0"/>
          <w:u w:val="single"/>
        </w:rPr>
      </w:pPr>
      <w:r>
        <w:rPr>
          <w:rFonts w:hint="eastAsia" w:ascii="宋体" w:hAnsi="宋体" w:cs="宋体"/>
          <w:kern w:val="0"/>
        </w:rPr>
        <w:t>经营范围：主营： ；兼营：</w:t>
      </w:r>
    </w:p>
    <w:p w14:paraId="30E826DB">
      <w:pPr>
        <w:autoSpaceDE w:val="0"/>
        <w:autoSpaceDN w:val="0"/>
        <w:adjustRightInd w:val="0"/>
        <w:snapToGrid w:val="0"/>
        <w:spacing w:before="156" w:beforeLines="50" w:line="360" w:lineRule="auto"/>
        <w:ind w:right="23" w:rightChars="11"/>
        <w:jc w:val="left"/>
        <w:rPr>
          <w:rFonts w:ascii="宋体" w:hAnsi="宋体" w:cs="宋体"/>
          <w:kern w:val="0"/>
        </w:rPr>
      </w:pPr>
      <w:r>
        <w:rPr>
          <w:rFonts w:hint="eastAsia" w:ascii="宋体" w:hAnsi="宋体" w:cs="宋体"/>
          <w:kern w:val="0"/>
        </w:rPr>
        <w:t>姓名： 性别： 年龄： 系（</w:t>
      </w:r>
      <w:r>
        <w:rPr>
          <w:rFonts w:hint="eastAsia" w:ascii="宋体" w:hAnsi="宋体" w:cs="宋体"/>
        </w:rPr>
        <w:t>供应商</w:t>
      </w:r>
      <w:r>
        <w:rPr>
          <w:rFonts w:hint="eastAsia" w:ascii="宋体" w:hAnsi="宋体" w:cs="宋体"/>
          <w:kern w:val="0"/>
        </w:rPr>
        <w:t>名称）的法定代表人。</w:t>
      </w:r>
    </w:p>
    <w:p w14:paraId="1DE9B0D8">
      <w:pPr>
        <w:autoSpaceDE w:val="0"/>
        <w:autoSpaceDN w:val="0"/>
        <w:adjustRightInd w:val="0"/>
        <w:snapToGrid w:val="0"/>
        <w:spacing w:before="156" w:beforeLines="50" w:line="360" w:lineRule="auto"/>
        <w:ind w:right="23" w:rightChars="11"/>
        <w:jc w:val="left"/>
        <w:rPr>
          <w:rFonts w:ascii="宋体" w:hAnsi="宋体" w:cs="宋体"/>
          <w:kern w:val="0"/>
        </w:rPr>
      </w:pPr>
      <w:r>
        <w:rPr>
          <w:rFonts w:hint="eastAsia" w:ascii="宋体" w:hAnsi="宋体" w:cs="宋体"/>
          <w:kern w:val="0"/>
        </w:rPr>
        <w:t>特此证明。</w:t>
      </w:r>
    </w:p>
    <w:p w14:paraId="2D82574D">
      <w:pPr>
        <w:autoSpaceDE w:val="0"/>
        <w:autoSpaceDN w:val="0"/>
        <w:adjustRightInd w:val="0"/>
        <w:snapToGrid w:val="0"/>
        <w:spacing w:before="156" w:beforeLines="50" w:line="360" w:lineRule="auto"/>
        <w:ind w:right="23" w:rightChars="11"/>
        <w:jc w:val="left"/>
        <w:rPr>
          <w:rFonts w:ascii="宋体" w:hAnsi="宋体" w:cs="宋体"/>
          <w:kern w:val="0"/>
        </w:rPr>
      </w:pPr>
      <w:r>
        <w:rPr>
          <w:rFonts w:hint="eastAsia" w:ascii="宋体" w:hAnsi="宋体" w:cs="宋体"/>
        </w:rPr>
        <w:t>附：法定代表人身份证复印件</w:t>
      </w:r>
    </w:p>
    <w:p w14:paraId="4A7D3639">
      <w:pPr>
        <w:snapToGrid w:val="0"/>
        <w:spacing w:line="480" w:lineRule="auto"/>
        <w:ind w:right="23" w:rightChars="11"/>
        <w:rPr>
          <w:rFonts w:ascii="宋体" w:hAnsi="宋体" w:cs="宋体"/>
        </w:rPr>
      </w:pPr>
    </w:p>
    <w:p w14:paraId="47411619">
      <w:pPr>
        <w:snapToGrid w:val="0"/>
        <w:ind w:right="23" w:rightChars="11"/>
        <w:rPr>
          <w:rFonts w:ascii="宋体" w:hAnsi="宋体" w:cs="宋体"/>
        </w:rPr>
      </w:pPr>
    </w:p>
    <w:p w14:paraId="6FDCAA35">
      <w:pPr>
        <w:snapToGrid w:val="0"/>
        <w:ind w:right="23" w:rightChars="11"/>
        <w:rPr>
          <w:rFonts w:ascii="宋体" w:hAnsi="宋体" w:cs="宋体"/>
        </w:rPr>
      </w:pPr>
    </w:p>
    <w:p w14:paraId="4DA212B4">
      <w:pPr>
        <w:snapToGrid w:val="0"/>
        <w:ind w:right="23" w:rightChars="11"/>
        <w:rPr>
          <w:rFonts w:ascii="宋体" w:hAnsi="宋体" w:cs="宋体"/>
        </w:rPr>
      </w:pPr>
    </w:p>
    <w:p w14:paraId="08958E41">
      <w:pPr>
        <w:snapToGrid w:val="0"/>
        <w:ind w:right="23" w:rightChars="11"/>
        <w:rPr>
          <w:rFonts w:ascii="宋体" w:hAnsi="宋体" w:cs="宋体"/>
        </w:rPr>
      </w:pPr>
    </w:p>
    <w:p w14:paraId="743E03C1">
      <w:pPr>
        <w:adjustRightInd w:val="0"/>
        <w:snapToGrid w:val="0"/>
        <w:spacing w:line="360" w:lineRule="auto"/>
        <w:ind w:right="23" w:rightChars="11"/>
        <w:rPr>
          <w:rFonts w:ascii="宋体" w:hAnsi="宋体" w:cs="宋体"/>
        </w:rPr>
      </w:pPr>
    </w:p>
    <w:p w14:paraId="0F54FBE8">
      <w:pPr>
        <w:adjustRightInd w:val="0"/>
        <w:snapToGrid w:val="0"/>
        <w:spacing w:line="360" w:lineRule="auto"/>
        <w:ind w:right="23" w:rightChars="11"/>
        <w:rPr>
          <w:rFonts w:ascii="宋体" w:hAnsi="宋体" w:cs="宋体"/>
        </w:rPr>
      </w:pPr>
      <w:r>
        <w:rPr>
          <w:rFonts w:hint="eastAsia" w:ascii="宋体" w:hAnsi="宋体" w:cs="宋体"/>
        </w:rPr>
        <w:t>供应商名称（盖单位章）：</w:t>
      </w:r>
    </w:p>
    <w:p w14:paraId="7EB2B1F4">
      <w:pPr>
        <w:adjustRightInd w:val="0"/>
        <w:snapToGrid w:val="0"/>
        <w:spacing w:line="360" w:lineRule="auto"/>
        <w:ind w:right="23" w:rightChars="11"/>
        <w:rPr>
          <w:rFonts w:ascii="宋体" w:hAnsi="宋体" w:cs="宋体"/>
        </w:rPr>
      </w:pPr>
      <w:r>
        <w:rPr>
          <w:rFonts w:hint="eastAsia" w:ascii="宋体" w:hAnsi="宋体" w:cs="宋体"/>
        </w:rPr>
        <w:t xml:space="preserve">日期：     年    月    日      </w:t>
      </w:r>
    </w:p>
    <w:p w14:paraId="12BC48A8">
      <w:pPr>
        <w:adjustRightInd w:val="0"/>
        <w:snapToGrid w:val="0"/>
        <w:spacing w:before="156" w:beforeLines="50" w:line="360" w:lineRule="auto"/>
        <w:ind w:right="23" w:rightChars="11"/>
        <w:rPr>
          <w:rFonts w:ascii="宋体" w:hAnsi="宋体" w:cs="宋体"/>
        </w:rPr>
      </w:pPr>
    </w:p>
    <w:p w14:paraId="2EA10DBD">
      <w:pPr>
        <w:adjustRightInd w:val="0"/>
        <w:snapToGrid w:val="0"/>
        <w:spacing w:before="156" w:beforeLines="50" w:line="360" w:lineRule="auto"/>
        <w:ind w:right="23" w:rightChars="11"/>
        <w:rPr>
          <w:rFonts w:ascii="宋体" w:hAnsi="宋体" w:cs="宋体"/>
        </w:rPr>
      </w:pPr>
    </w:p>
    <w:p w14:paraId="45845BF2">
      <w:pPr>
        <w:adjustRightInd w:val="0"/>
        <w:snapToGrid w:val="0"/>
        <w:spacing w:before="156" w:beforeLines="50" w:line="360" w:lineRule="auto"/>
        <w:ind w:right="23" w:rightChars="11"/>
        <w:rPr>
          <w:rFonts w:ascii="宋体" w:hAnsi="宋体" w:cs="宋体"/>
        </w:rPr>
      </w:pPr>
    </w:p>
    <w:p w14:paraId="29B34CF8">
      <w:pPr>
        <w:adjustRightInd w:val="0"/>
        <w:snapToGrid w:val="0"/>
        <w:spacing w:before="156" w:beforeLines="50" w:line="360" w:lineRule="auto"/>
        <w:ind w:right="23" w:rightChars="11"/>
        <w:rPr>
          <w:rFonts w:ascii="宋体" w:hAnsi="宋体" w:cs="宋体"/>
        </w:rPr>
      </w:pPr>
    </w:p>
    <w:p w14:paraId="0D8F1E2E">
      <w:pPr>
        <w:adjustRightInd w:val="0"/>
        <w:snapToGrid w:val="0"/>
        <w:spacing w:before="156" w:beforeLines="50" w:line="360" w:lineRule="auto"/>
        <w:ind w:right="23" w:rightChars="11"/>
        <w:rPr>
          <w:rFonts w:ascii="宋体" w:hAnsi="宋体" w:cs="宋体"/>
        </w:rPr>
      </w:pPr>
    </w:p>
    <w:p w14:paraId="1ACE365C">
      <w:pPr>
        <w:adjustRightInd w:val="0"/>
        <w:snapToGrid w:val="0"/>
        <w:spacing w:before="156" w:beforeLines="50" w:line="360" w:lineRule="auto"/>
        <w:ind w:right="23" w:rightChars="11"/>
        <w:rPr>
          <w:rFonts w:ascii="宋体" w:hAnsi="宋体" w:cs="宋体"/>
        </w:rPr>
      </w:pPr>
    </w:p>
    <w:p w14:paraId="20FC6D76">
      <w:pPr>
        <w:adjustRightInd w:val="0"/>
        <w:snapToGrid w:val="0"/>
        <w:spacing w:before="156" w:beforeLines="50" w:line="360" w:lineRule="auto"/>
        <w:ind w:right="23" w:rightChars="11"/>
        <w:rPr>
          <w:rFonts w:ascii="宋体" w:hAnsi="宋体" w:cs="宋体"/>
        </w:rPr>
      </w:pPr>
    </w:p>
    <w:p w14:paraId="67E5B307">
      <w:pPr>
        <w:adjustRightInd w:val="0"/>
        <w:snapToGrid w:val="0"/>
        <w:spacing w:before="156" w:beforeLines="50" w:line="360" w:lineRule="auto"/>
        <w:ind w:right="23" w:rightChars="11"/>
        <w:rPr>
          <w:rFonts w:ascii="宋体" w:hAnsi="宋体" w:cs="宋体"/>
        </w:rPr>
      </w:pPr>
    </w:p>
    <w:p w14:paraId="08504D14">
      <w:pPr>
        <w:pStyle w:val="35"/>
        <w:rPr>
          <w:rFonts w:ascii="宋体" w:hAnsi="宋体" w:eastAsia="宋体" w:cs="宋体"/>
        </w:rPr>
      </w:pPr>
    </w:p>
    <w:p w14:paraId="45F8F15F">
      <w:pPr>
        <w:adjustRightInd w:val="0"/>
        <w:snapToGrid w:val="0"/>
        <w:spacing w:line="360" w:lineRule="auto"/>
        <w:ind w:right="23" w:rightChars="11" w:firstLine="482"/>
        <w:rPr>
          <w:rFonts w:ascii="宋体" w:hAnsi="宋体" w:cs="宋体"/>
          <w:sz w:val="24"/>
        </w:rPr>
      </w:pPr>
      <w:r>
        <w:rPr>
          <w:rFonts w:hint="eastAsia" w:ascii="宋体" w:hAnsi="宋体" w:cs="宋体"/>
          <w:bCs/>
          <w:sz w:val="24"/>
        </w:rPr>
        <w:t>附件2</w:t>
      </w:r>
      <w:r>
        <w:rPr>
          <w:rFonts w:hint="eastAsia" w:ascii="宋体" w:hAnsi="宋体" w:cs="宋体"/>
          <w:sz w:val="24"/>
        </w:rPr>
        <w:t>：</w:t>
      </w:r>
    </w:p>
    <w:p w14:paraId="060CC36C">
      <w:pPr>
        <w:adjustRightInd w:val="0"/>
        <w:snapToGrid w:val="0"/>
        <w:spacing w:line="360" w:lineRule="auto"/>
        <w:ind w:right="23" w:rightChars="11" w:firstLine="560"/>
        <w:jc w:val="center"/>
        <w:rPr>
          <w:rFonts w:ascii="宋体" w:hAnsi="宋体" w:cs="宋体"/>
          <w:b/>
          <w:sz w:val="28"/>
          <w:szCs w:val="28"/>
        </w:rPr>
      </w:pPr>
      <w:r>
        <w:rPr>
          <w:rFonts w:hint="eastAsia" w:ascii="宋体" w:hAnsi="宋体" w:cs="宋体"/>
          <w:b/>
          <w:sz w:val="28"/>
          <w:szCs w:val="28"/>
        </w:rPr>
        <w:t xml:space="preserve">法定代表人授权书(委托代理人参加磋商) </w:t>
      </w:r>
    </w:p>
    <w:p w14:paraId="74E330F0">
      <w:pPr>
        <w:adjustRightInd w:val="0"/>
        <w:snapToGrid w:val="0"/>
        <w:spacing w:line="360" w:lineRule="auto"/>
        <w:ind w:right="23" w:rightChars="11" w:firstLine="560"/>
        <w:jc w:val="center"/>
        <w:rPr>
          <w:rFonts w:ascii="宋体" w:hAnsi="宋体" w:cs="宋体"/>
          <w:b/>
          <w:sz w:val="28"/>
          <w:szCs w:val="28"/>
        </w:rPr>
      </w:pPr>
    </w:p>
    <w:p w14:paraId="3E9B35B6">
      <w:pPr>
        <w:adjustRightInd w:val="0"/>
        <w:snapToGrid w:val="0"/>
        <w:spacing w:line="360" w:lineRule="auto"/>
        <w:ind w:right="23" w:rightChars="11" w:firstLine="560"/>
        <w:jc w:val="center"/>
        <w:rPr>
          <w:rFonts w:ascii="宋体" w:hAnsi="宋体" w:cs="宋体"/>
          <w:b/>
          <w:sz w:val="28"/>
          <w:szCs w:val="28"/>
        </w:rPr>
      </w:pPr>
    </w:p>
    <w:p w14:paraId="0AA78873">
      <w:pPr>
        <w:autoSpaceDE w:val="0"/>
        <w:autoSpaceDN w:val="0"/>
        <w:adjustRightInd w:val="0"/>
        <w:snapToGrid w:val="0"/>
        <w:spacing w:before="156" w:beforeLines="50" w:line="360" w:lineRule="auto"/>
        <w:ind w:right="23" w:rightChars="11" w:firstLine="420" w:firstLineChars="200"/>
        <w:jc w:val="left"/>
        <w:rPr>
          <w:rFonts w:ascii="宋体" w:hAnsi="宋体" w:cs="宋体"/>
          <w:kern w:val="0"/>
        </w:rPr>
      </w:pPr>
      <w:r>
        <w:rPr>
          <w:rFonts w:hint="eastAsia" w:ascii="宋体" w:hAnsi="宋体" w:cs="宋体"/>
          <w:kern w:val="0"/>
        </w:rPr>
        <w:t>本人（姓名、职务）系 （</w:t>
      </w:r>
      <w:r>
        <w:rPr>
          <w:rFonts w:hint="eastAsia" w:ascii="宋体" w:hAnsi="宋体" w:cs="宋体"/>
        </w:rPr>
        <w:t>供应商</w:t>
      </w:r>
      <w:r>
        <w:rPr>
          <w:rFonts w:hint="eastAsia" w:ascii="宋体" w:hAnsi="宋体" w:cs="宋体"/>
          <w:kern w:val="0"/>
        </w:rPr>
        <w:t>名称）的法定代表人，现授权（姓名、职务）为我方代理人。代理人根据授权，以我方名义：(1)签署、澄清、补正、修改、撤回、提交（采购代理机构编号）响应文件；(2)签署并重新提交响应文件及最后报价；(3)退出磋商；(4)签订合同和处理有关事宜，其法律后果由我方承担；（5）询问、质疑、投诉等相关事项，其法律后果由我方承担。</w:t>
      </w:r>
    </w:p>
    <w:p w14:paraId="6472302E">
      <w:pPr>
        <w:autoSpaceDE w:val="0"/>
        <w:autoSpaceDN w:val="0"/>
        <w:adjustRightInd w:val="0"/>
        <w:snapToGrid w:val="0"/>
        <w:spacing w:before="156" w:beforeLines="50" w:line="360" w:lineRule="auto"/>
        <w:ind w:right="23" w:rightChars="11" w:firstLine="420" w:firstLineChars="200"/>
        <w:jc w:val="left"/>
        <w:rPr>
          <w:rFonts w:ascii="宋体" w:hAnsi="宋体" w:cs="宋体"/>
          <w:kern w:val="0"/>
        </w:rPr>
      </w:pPr>
      <w:r>
        <w:rPr>
          <w:rFonts w:hint="eastAsia" w:ascii="宋体" w:hAnsi="宋体" w:cs="宋体"/>
          <w:kern w:val="0"/>
        </w:rPr>
        <w:t>委托期限： 。</w:t>
      </w:r>
    </w:p>
    <w:p w14:paraId="2D535A84">
      <w:pPr>
        <w:spacing w:line="360" w:lineRule="auto"/>
        <w:ind w:right="23" w:rightChars="11" w:firstLine="422"/>
        <w:rPr>
          <w:rFonts w:ascii="宋体" w:hAnsi="宋体" w:cs="宋体"/>
          <w:kern w:val="0"/>
        </w:rPr>
      </w:pPr>
      <w:r>
        <w:rPr>
          <w:rFonts w:hint="eastAsia" w:ascii="宋体" w:hAnsi="宋体" w:cs="宋体"/>
          <w:kern w:val="0"/>
        </w:rPr>
        <w:t>代理人无转委托权。</w:t>
      </w:r>
    </w:p>
    <w:p w14:paraId="6D8621FB">
      <w:pPr>
        <w:spacing w:line="360" w:lineRule="auto"/>
        <w:ind w:right="23" w:rightChars="11" w:firstLine="422"/>
        <w:rPr>
          <w:rFonts w:ascii="宋体" w:hAnsi="宋体" w:cs="宋体"/>
        </w:rPr>
      </w:pPr>
      <w:r>
        <w:rPr>
          <w:rFonts w:hint="eastAsia" w:ascii="宋体" w:hAnsi="宋体" w:cs="宋体"/>
        </w:rPr>
        <w:t>本授权书于     年    月    日签字生效，特此声明。</w:t>
      </w:r>
    </w:p>
    <w:p w14:paraId="6BB14BB1">
      <w:pPr>
        <w:adjustRightInd w:val="0"/>
        <w:snapToGrid w:val="0"/>
        <w:spacing w:before="156" w:beforeLines="50" w:line="360" w:lineRule="auto"/>
        <w:ind w:right="23" w:rightChars="11" w:firstLine="420" w:firstLineChars="200"/>
        <w:rPr>
          <w:rFonts w:ascii="宋体" w:hAnsi="宋体" w:cs="宋体"/>
        </w:rPr>
      </w:pPr>
      <w:r>
        <w:rPr>
          <w:rFonts w:hint="eastAsia" w:ascii="宋体" w:hAnsi="宋体" w:cs="宋体"/>
        </w:rPr>
        <w:t>附：委托代理人身份证复印件及法定代表人身份证明(附件1，原件)</w:t>
      </w:r>
    </w:p>
    <w:p w14:paraId="5976FAD7">
      <w:pPr>
        <w:adjustRightInd w:val="0"/>
        <w:snapToGrid w:val="0"/>
        <w:spacing w:line="360" w:lineRule="auto"/>
        <w:ind w:right="23" w:rightChars="11"/>
        <w:rPr>
          <w:rFonts w:ascii="宋体" w:hAnsi="宋体" w:cs="宋体"/>
        </w:rPr>
      </w:pPr>
    </w:p>
    <w:p w14:paraId="12106090">
      <w:pPr>
        <w:adjustRightInd w:val="0"/>
        <w:snapToGrid w:val="0"/>
        <w:spacing w:line="360" w:lineRule="auto"/>
        <w:ind w:right="23" w:rightChars="11"/>
        <w:rPr>
          <w:rFonts w:ascii="宋体" w:hAnsi="宋体" w:cs="宋体"/>
        </w:rPr>
      </w:pPr>
    </w:p>
    <w:p w14:paraId="1C66F622">
      <w:pPr>
        <w:adjustRightInd w:val="0"/>
        <w:snapToGrid w:val="0"/>
        <w:spacing w:line="360" w:lineRule="auto"/>
        <w:ind w:right="23" w:rightChars="11"/>
        <w:rPr>
          <w:rFonts w:ascii="宋体" w:hAnsi="宋体" w:cs="宋体"/>
        </w:rPr>
      </w:pPr>
    </w:p>
    <w:p w14:paraId="2E2CC759">
      <w:pPr>
        <w:adjustRightInd w:val="0"/>
        <w:snapToGrid w:val="0"/>
        <w:spacing w:line="360" w:lineRule="auto"/>
        <w:ind w:right="23" w:rightChars="11"/>
        <w:rPr>
          <w:rFonts w:ascii="宋体" w:hAnsi="宋体" w:cs="宋体"/>
        </w:rPr>
      </w:pPr>
    </w:p>
    <w:p w14:paraId="2492E0EB">
      <w:pPr>
        <w:adjustRightInd w:val="0"/>
        <w:snapToGrid w:val="0"/>
        <w:spacing w:line="360" w:lineRule="auto"/>
        <w:ind w:right="23" w:rightChars="11"/>
        <w:rPr>
          <w:rFonts w:ascii="宋体" w:hAnsi="宋体" w:cs="宋体"/>
        </w:rPr>
      </w:pPr>
    </w:p>
    <w:p w14:paraId="5BB602C7">
      <w:pPr>
        <w:adjustRightInd w:val="0"/>
        <w:snapToGrid w:val="0"/>
        <w:spacing w:line="360" w:lineRule="auto"/>
        <w:ind w:right="23" w:rightChars="11"/>
        <w:rPr>
          <w:rFonts w:ascii="宋体" w:hAnsi="宋体" w:cs="宋体"/>
        </w:rPr>
      </w:pPr>
    </w:p>
    <w:p w14:paraId="1CDF1588">
      <w:pPr>
        <w:adjustRightInd w:val="0"/>
        <w:snapToGrid w:val="0"/>
        <w:spacing w:line="360" w:lineRule="auto"/>
        <w:ind w:right="23" w:rightChars="11"/>
        <w:rPr>
          <w:rFonts w:ascii="宋体" w:hAnsi="宋体" w:cs="宋体"/>
        </w:rPr>
      </w:pPr>
    </w:p>
    <w:p w14:paraId="4E43B2EF">
      <w:pPr>
        <w:adjustRightInd w:val="0"/>
        <w:snapToGrid w:val="0"/>
        <w:spacing w:line="360" w:lineRule="auto"/>
        <w:ind w:right="23" w:rightChars="11"/>
        <w:rPr>
          <w:rFonts w:ascii="宋体" w:hAnsi="宋体" w:cs="宋体"/>
        </w:rPr>
      </w:pPr>
    </w:p>
    <w:p w14:paraId="050E0CED">
      <w:pPr>
        <w:adjustRightInd w:val="0"/>
        <w:snapToGrid w:val="0"/>
        <w:spacing w:line="360" w:lineRule="auto"/>
        <w:ind w:right="23" w:rightChars="11"/>
        <w:rPr>
          <w:rFonts w:ascii="宋体" w:hAnsi="宋体" w:cs="宋体"/>
        </w:rPr>
      </w:pPr>
      <w:r>
        <w:rPr>
          <w:rFonts w:hint="eastAsia" w:ascii="宋体" w:hAnsi="宋体" w:cs="宋体"/>
        </w:rPr>
        <w:t>法定代表人（签字）：</w:t>
      </w:r>
    </w:p>
    <w:p w14:paraId="0D27F647">
      <w:pPr>
        <w:adjustRightInd w:val="0"/>
        <w:snapToGrid w:val="0"/>
        <w:spacing w:line="360" w:lineRule="auto"/>
        <w:ind w:right="23" w:rightChars="11"/>
        <w:rPr>
          <w:rFonts w:ascii="宋体" w:hAnsi="宋体" w:cs="宋体"/>
        </w:rPr>
      </w:pPr>
      <w:r>
        <w:rPr>
          <w:rFonts w:hint="eastAsia" w:ascii="宋体" w:hAnsi="宋体" w:cs="宋体"/>
        </w:rPr>
        <w:t>委托代理人（签字）：</w:t>
      </w:r>
    </w:p>
    <w:p w14:paraId="5072AA95">
      <w:pPr>
        <w:adjustRightInd w:val="0"/>
        <w:snapToGrid w:val="0"/>
        <w:spacing w:line="360" w:lineRule="auto"/>
        <w:ind w:right="23" w:rightChars="11"/>
        <w:rPr>
          <w:rFonts w:ascii="宋体" w:hAnsi="宋体" w:cs="宋体"/>
        </w:rPr>
      </w:pPr>
      <w:r>
        <w:rPr>
          <w:rFonts w:hint="eastAsia" w:ascii="宋体" w:hAnsi="宋体" w:cs="宋体"/>
        </w:rPr>
        <w:t>日期：     年    月    日</w:t>
      </w:r>
    </w:p>
    <w:p w14:paraId="26391154">
      <w:pPr>
        <w:spacing w:line="360" w:lineRule="exact"/>
        <w:ind w:right="23" w:rightChars="11" w:firstLine="420"/>
        <w:rPr>
          <w:rFonts w:ascii="宋体" w:hAnsi="宋体" w:cs="宋体"/>
          <w:b/>
        </w:rPr>
      </w:pPr>
    </w:p>
    <w:p w14:paraId="0027DD9E">
      <w:pPr>
        <w:spacing w:line="360" w:lineRule="exact"/>
        <w:ind w:right="23" w:rightChars="11" w:firstLine="420"/>
        <w:rPr>
          <w:rFonts w:ascii="宋体" w:hAnsi="宋体" w:cs="宋体"/>
          <w:b/>
        </w:rPr>
      </w:pPr>
    </w:p>
    <w:p w14:paraId="763B3E8D">
      <w:pPr>
        <w:spacing w:line="360" w:lineRule="exact"/>
        <w:ind w:right="23" w:rightChars="11" w:firstLine="420"/>
        <w:rPr>
          <w:rFonts w:ascii="宋体" w:hAnsi="宋体" w:cs="宋体"/>
          <w:b/>
        </w:rPr>
      </w:pPr>
    </w:p>
    <w:p w14:paraId="224626CC">
      <w:pPr>
        <w:spacing w:line="360" w:lineRule="exact"/>
        <w:ind w:right="23" w:rightChars="11" w:firstLine="420"/>
        <w:rPr>
          <w:rFonts w:ascii="宋体" w:hAnsi="宋体" w:cs="宋体"/>
          <w:b/>
        </w:rPr>
      </w:pPr>
    </w:p>
    <w:p w14:paraId="0877FBEC">
      <w:pPr>
        <w:spacing w:line="360" w:lineRule="exact"/>
        <w:ind w:right="23" w:rightChars="11" w:firstLine="420"/>
        <w:rPr>
          <w:rFonts w:ascii="宋体" w:hAnsi="宋体" w:cs="宋体"/>
          <w:b/>
        </w:rPr>
      </w:pPr>
    </w:p>
    <w:p w14:paraId="4B50715A">
      <w:pPr>
        <w:spacing w:line="360" w:lineRule="exact"/>
        <w:ind w:right="23" w:rightChars="11" w:firstLine="420"/>
        <w:rPr>
          <w:rFonts w:ascii="宋体" w:hAnsi="宋体" w:cs="宋体"/>
          <w:b/>
        </w:rPr>
      </w:pPr>
    </w:p>
    <w:p w14:paraId="390E973B">
      <w:pPr>
        <w:spacing w:line="360" w:lineRule="exact"/>
        <w:ind w:right="23" w:rightChars="11" w:firstLine="420"/>
        <w:rPr>
          <w:rFonts w:ascii="宋体" w:hAnsi="宋体" w:cs="宋体"/>
          <w:b/>
        </w:rPr>
      </w:pPr>
    </w:p>
    <w:p w14:paraId="78EA1F78">
      <w:pPr>
        <w:spacing w:line="360" w:lineRule="exact"/>
        <w:ind w:right="23" w:rightChars="11" w:firstLine="420"/>
        <w:rPr>
          <w:rFonts w:ascii="宋体" w:hAnsi="宋体" w:cs="宋体"/>
          <w:b/>
        </w:rPr>
      </w:pPr>
    </w:p>
    <w:p w14:paraId="5FE02A91">
      <w:pPr>
        <w:pStyle w:val="35"/>
        <w:rPr>
          <w:rFonts w:ascii="宋体" w:hAnsi="宋体" w:eastAsia="宋体" w:cs="宋体"/>
        </w:rPr>
      </w:pPr>
    </w:p>
    <w:p w14:paraId="4CEE3F81">
      <w:pPr>
        <w:pStyle w:val="35"/>
        <w:rPr>
          <w:rFonts w:ascii="宋体" w:hAnsi="宋体" w:eastAsia="宋体" w:cs="宋体"/>
        </w:rPr>
      </w:pPr>
    </w:p>
    <w:p w14:paraId="0518846F">
      <w:pPr>
        <w:spacing w:line="360" w:lineRule="exact"/>
        <w:ind w:right="23" w:rightChars="11" w:firstLine="420"/>
        <w:rPr>
          <w:rFonts w:ascii="宋体" w:hAnsi="宋体" w:cs="宋体"/>
          <w:b/>
        </w:rPr>
      </w:pPr>
    </w:p>
    <w:p w14:paraId="14A97D80">
      <w:pPr>
        <w:spacing w:line="360" w:lineRule="exact"/>
        <w:ind w:right="23" w:rightChars="11" w:firstLine="420"/>
        <w:rPr>
          <w:rFonts w:ascii="宋体" w:hAnsi="宋体" w:cs="宋体"/>
          <w:b/>
        </w:rPr>
      </w:pPr>
    </w:p>
    <w:p w14:paraId="00BD2A92">
      <w:pPr>
        <w:adjustRightInd w:val="0"/>
        <w:snapToGrid w:val="0"/>
        <w:spacing w:line="360" w:lineRule="auto"/>
        <w:ind w:firstLine="562"/>
        <w:jc w:val="left"/>
        <w:rPr>
          <w:rFonts w:ascii="宋体" w:hAnsi="宋体" w:cs="宋体"/>
          <w:sz w:val="28"/>
          <w:szCs w:val="28"/>
        </w:rPr>
      </w:pPr>
      <w:r>
        <w:rPr>
          <w:rFonts w:hint="eastAsia" w:ascii="宋体" w:hAnsi="宋体" w:cs="宋体"/>
          <w:sz w:val="28"/>
          <w:szCs w:val="28"/>
        </w:rPr>
        <w:t>附件3</w:t>
      </w:r>
    </w:p>
    <w:p w14:paraId="32BDA546">
      <w:pPr>
        <w:adjustRightInd w:val="0"/>
        <w:snapToGrid w:val="0"/>
        <w:spacing w:line="360" w:lineRule="auto"/>
        <w:ind w:firstLine="562"/>
        <w:jc w:val="center"/>
        <w:rPr>
          <w:rFonts w:ascii="宋体" w:hAnsi="宋体" w:cs="宋体"/>
          <w:sz w:val="24"/>
        </w:rPr>
      </w:pPr>
      <w:r>
        <w:rPr>
          <w:rFonts w:hint="eastAsia" w:ascii="宋体" w:hAnsi="宋体" w:cs="宋体"/>
          <w:sz w:val="28"/>
          <w:szCs w:val="28"/>
        </w:rPr>
        <w:t>近三年内在经营活动中没有重大违法记录的书面声明</w:t>
      </w:r>
    </w:p>
    <w:p w14:paraId="2F72D82E">
      <w:pPr>
        <w:adjustRightInd w:val="0"/>
        <w:snapToGrid w:val="0"/>
        <w:spacing w:before="156" w:beforeLines="50" w:line="360" w:lineRule="auto"/>
        <w:ind w:left="-88" w:leftChars="-42"/>
        <w:outlineLvl w:val="0"/>
        <w:rPr>
          <w:rFonts w:ascii="宋体" w:hAnsi="宋体" w:cs="宋体"/>
        </w:rPr>
      </w:pPr>
      <w:r>
        <w:rPr>
          <w:rFonts w:hint="eastAsia" w:ascii="宋体" w:hAnsi="宋体" w:cs="宋体"/>
        </w:rPr>
        <w:t>致(采购代理机构)：</w:t>
      </w:r>
    </w:p>
    <w:p w14:paraId="3BC8D3C3">
      <w:pPr>
        <w:adjustRightInd w:val="0"/>
        <w:snapToGrid w:val="0"/>
        <w:spacing w:before="156" w:beforeLines="50" w:line="360" w:lineRule="auto"/>
        <w:ind w:left="-88" w:leftChars="-42"/>
        <w:rPr>
          <w:rFonts w:ascii="宋体" w:hAnsi="宋体" w:cs="宋体"/>
        </w:rPr>
      </w:pPr>
    </w:p>
    <w:p w14:paraId="2D81A7A1">
      <w:pPr>
        <w:adjustRightInd w:val="0"/>
        <w:snapToGrid w:val="0"/>
        <w:spacing w:line="360" w:lineRule="auto"/>
        <w:ind w:firstLine="420" w:firstLineChars="200"/>
        <w:rPr>
          <w:rFonts w:ascii="宋体" w:hAnsi="宋体" w:cs="宋体"/>
          <w:bCs/>
        </w:rPr>
      </w:pPr>
      <w:r>
        <w:rPr>
          <w:rFonts w:hint="eastAsia" w:ascii="宋体" w:hAnsi="宋体" w:cs="宋体"/>
          <w:bCs/>
        </w:rPr>
        <w:t>我单位在</w:t>
      </w:r>
      <w:r>
        <w:rPr>
          <w:rFonts w:hint="eastAsia" w:ascii="宋体" w:hAnsi="宋体" w:cs="宋体"/>
        </w:rPr>
        <w:t>参加采购活动前三年内在经</w:t>
      </w:r>
      <w:r>
        <w:rPr>
          <w:rFonts w:hint="eastAsia" w:ascii="宋体" w:hAnsi="宋体" w:cs="宋体"/>
          <w:bCs/>
        </w:rPr>
        <w:t>营活动中没有重大违法记录，包括：</w:t>
      </w:r>
    </w:p>
    <w:p w14:paraId="4D0BC14C">
      <w:pPr>
        <w:adjustRightInd w:val="0"/>
        <w:snapToGrid w:val="0"/>
        <w:spacing w:line="360" w:lineRule="auto"/>
        <w:ind w:firstLine="420" w:firstLineChars="200"/>
        <w:rPr>
          <w:rFonts w:ascii="宋体" w:hAnsi="宋体" w:cs="宋体"/>
          <w:bCs/>
        </w:rPr>
      </w:pPr>
      <w:r>
        <w:rPr>
          <w:rFonts w:hint="eastAsia" w:ascii="宋体" w:hAnsi="宋体" w:cs="宋体"/>
          <w:bCs/>
        </w:rPr>
        <w:t>受到刑事处罚，受到较大数额的罚款、责令停产停业、在一至三年内因行贿、盗版等行为被公共媒体曝光或被行业主管部门处罚、暂扣或者吊销许可证、暂扣或者吊销执照等情形之一的行政处罚，或者存在其他重大违法记录。</w:t>
      </w:r>
    </w:p>
    <w:p w14:paraId="7118C336">
      <w:pPr>
        <w:adjustRightInd w:val="0"/>
        <w:snapToGrid w:val="0"/>
        <w:spacing w:line="360" w:lineRule="auto"/>
        <w:ind w:firstLine="420" w:firstLineChars="200"/>
        <w:rPr>
          <w:rFonts w:ascii="宋体" w:hAnsi="宋体" w:cs="宋体"/>
          <w:bCs/>
        </w:rPr>
      </w:pPr>
      <w:r>
        <w:rPr>
          <w:rFonts w:hint="eastAsia" w:ascii="宋体" w:hAnsi="宋体" w:cs="宋体"/>
          <w:bCs/>
        </w:rPr>
        <w:t>特此声明！</w:t>
      </w:r>
    </w:p>
    <w:p w14:paraId="4690CFAB">
      <w:pPr>
        <w:widowControl/>
        <w:adjustRightInd w:val="0"/>
        <w:snapToGrid w:val="0"/>
        <w:spacing w:before="156" w:beforeLines="50" w:line="360" w:lineRule="auto"/>
        <w:ind w:firstLine="422"/>
        <w:rPr>
          <w:rFonts w:ascii="宋体" w:hAnsi="宋体" w:cs="宋体"/>
        </w:rPr>
      </w:pPr>
    </w:p>
    <w:p w14:paraId="34431D92">
      <w:pPr>
        <w:widowControl/>
        <w:adjustRightInd w:val="0"/>
        <w:snapToGrid w:val="0"/>
        <w:spacing w:before="156" w:beforeLines="50" w:line="360" w:lineRule="auto"/>
        <w:ind w:firstLine="422"/>
        <w:rPr>
          <w:rFonts w:ascii="宋体" w:hAnsi="宋体" w:cs="宋体"/>
        </w:rPr>
      </w:pPr>
    </w:p>
    <w:p w14:paraId="6BDFFE98">
      <w:pPr>
        <w:adjustRightInd w:val="0"/>
        <w:snapToGrid w:val="0"/>
        <w:spacing w:before="156" w:beforeLines="50" w:line="360" w:lineRule="auto"/>
        <w:rPr>
          <w:rFonts w:ascii="宋体" w:hAnsi="宋体" w:cs="宋体"/>
        </w:rPr>
      </w:pPr>
      <w:r>
        <w:rPr>
          <w:rFonts w:hint="eastAsia" w:ascii="宋体" w:hAnsi="宋体" w:cs="宋体"/>
        </w:rPr>
        <w:t xml:space="preserve">投标人名称（单位章）： </w:t>
      </w:r>
    </w:p>
    <w:p w14:paraId="03EBA968">
      <w:pPr>
        <w:adjustRightInd w:val="0"/>
        <w:snapToGrid w:val="0"/>
        <w:spacing w:before="156" w:beforeLines="50" w:line="360" w:lineRule="auto"/>
        <w:rPr>
          <w:rFonts w:ascii="宋体" w:hAnsi="宋体" w:cs="宋体"/>
        </w:rPr>
      </w:pPr>
      <w:r>
        <w:rPr>
          <w:rFonts w:hint="eastAsia" w:ascii="宋体" w:hAnsi="宋体" w:cs="宋体"/>
        </w:rPr>
        <w:t>法定代表人或其委托代理人（签字）：</w:t>
      </w:r>
    </w:p>
    <w:p w14:paraId="1836DC66">
      <w:pPr>
        <w:adjustRightInd w:val="0"/>
        <w:snapToGrid w:val="0"/>
        <w:spacing w:line="360" w:lineRule="auto"/>
        <w:rPr>
          <w:rFonts w:ascii="宋体" w:hAnsi="宋体" w:cs="宋体"/>
          <w:sz w:val="28"/>
          <w:szCs w:val="28"/>
        </w:rPr>
      </w:pPr>
      <w:r>
        <w:rPr>
          <w:rFonts w:hint="eastAsia" w:ascii="宋体" w:hAnsi="宋体" w:cs="宋体"/>
        </w:rPr>
        <w:t>日期：      年    月    日</w:t>
      </w:r>
    </w:p>
    <w:p w14:paraId="6B9C80C1">
      <w:pPr>
        <w:spacing w:line="360" w:lineRule="exact"/>
        <w:ind w:right="23" w:rightChars="11" w:firstLine="420"/>
        <w:rPr>
          <w:rFonts w:ascii="宋体" w:hAnsi="宋体" w:cs="宋体"/>
          <w:b/>
        </w:rPr>
      </w:pPr>
    </w:p>
    <w:p w14:paraId="70FD6902">
      <w:pPr>
        <w:pStyle w:val="11"/>
        <w:adjustRightInd w:val="0"/>
        <w:snapToGrid w:val="0"/>
        <w:spacing w:line="360" w:lineRule="auto"/>
        <w:ind w:right="23" w:rightChars="11" w:firstLine="640"/>
        <w:jc w:val="center"/>
        <w:rPr>
          <w:rFonts w:hAnsi="宋体"/>
          <w:b/>
          <w:sz w:val="32"/>
          <w:szCs w:val="32"/>
        </w:rPr>
      </w:pPr>
    </w:p>
    <w:p w14:paraId="75883388">
      <w:pPr>
        <w:pStyle w:val="11"/>
        <w:adjustRightInd w:val="0"/>
        <w:snapToGrid w:val="0"/>
        <w:spacing w:line="360" w:lineRule="auto"/>
        <w:ind w:right="23" w:rightChars="11" w:firstLine="640"/>
        <w:jc w:val="center"/>
        <w:rPr>
          <w:rFonts w:hAnsi="宋体"/>
          <w:b/>
          <w:sz w:val="32"/>
          <w:szCs w:val="32"/>
        </w:rPr>
      </w:pPr>
    </w:p>
    <w:p w14:paraId="7B8D1F03">
      <w:pPr>
        <w:pStyle w:val="11"/>
        <w:adjustRightInd w:val="0"/>
        <w:snapToGrid w:val="0"/>
        <w:spacing w:line="360" w:lineRule="auto"/>
        <w:ind w:right="23" w:rightChars="11" w:firstLine="640"/>
        <w:jc w:val="center"/>
        <w:rPr>
          <w:rFonts w:hAnsi="宋体"/>
          <w:b/>
          <w:sz w:val="32"/>
          <w:szCs w:val="32"/>
        </w:rPr>
      </w:pPr>
    </w:p>
    <w:p w14:paraId="2DB75755">
      <w:pPr>
        <w:pStyle w:val="11"/>
        <w:adjustRightInd w:val="0"/>
        <w:snapToGrid w:val="0"/>
        <w:spacing w:line="360" w:lineRule="auto"/>
        <w:ind w:right="23" w:rightChars="11" w:firstLine="640"/>
        <w:jc w:val="center"/>
        <w:rPr>
          <w:rFonts w:hAnsi="宋体"/>
          <w:b/>
          <w:sz w:val="32"/>
          <w:szCs w:val="32"/>
        </w:rPr>
      </w:pPr>
    </w:p>
    <w:p w14:paraId="6CB353F6">
      <w:pPr>
        <w:pStyle w:val="11"/>
        <w:adjustRightInd w:val="0"/>
        <w:snapToGrid w:val="0"/>
        <w:spacing w:line="360" w:lineRule="auto"/>
        <w:ind w:right="23" w:rightChars="11" w:firstLine="640"/>
        <w:jc w:val="center"/>
        <w:rPr>
          <w:rFonts w:hAnsi="宋体"/>
          <w:b/>
          <w:sz w:val="32"/>
          <w:szCs w:val="32"/>
        </w:rPr>
      </w:pPr>
    </w:p>
    <w:p w14:paraId="5E7D6A8D">
      <w:pPr>
        <w:pStyle w:val="11"/>
        <w:adjustRightInd w:val="0"/>
        <w:snapToGrid w:val="0"/>
        <w:spacing w:line="360" w:lineRule="auto"/>
        <w:ind w:right="23" w:rightChars="11" w:firstLine="640"/>
        <w:jc w:val="center"/>
        <w:rPr>
          <w:rFonts w:hAnsi="宋体"/>
          <w:b/>
          <w:sz w:val="32"/>
          <w:szCs w:val="32"/>
        </w:rPr>
      </w:pPr>
    </w:p>
    <w:p w14:paraId="4774A24B">
      <w:pPr>
        <w:pStyle w:val="11"/>
        <w:adjustRightInd w:val="0"/>
        <w:snapToGrid w:val="0"/>
        <w:spacing w:line="360" w:lineRule="auto"/>
        <w:ind w:right="23" w:rightChars="11" w:firstLine="640"/>
        <w:jc w:val="center"/>
        <w:rPr>
          <w:rFonts w:hAnsi="宋体"/>
          <w:b/>
          <w:sz w:val="32"/>
          <w:szCs w:val="32"/>
        </w:rPr>
      </w:pPr>
    </w:p>
    <w:p w14:paraId="68DC7907">
      <w:pPr>
        <w:pStyle w:val="11"/>
        <w:adjustRightInd w:val="0"/>
        <w:snapToGrid w:val="0"/>
        <w:spacing w:line="360" w:lineRule="auto"/>
        <w:ind w:right="23" w:rightChars="11" w:firstLine="640"/>
        <w:jc w:val="center"/>
        <w:rPr>
          <w:rFonts w:hAnsi="宋体"/>
          <w:b/>
          <w:sz w:val="32"/>
          <w:szCs w:val="32"/>
        </w:rPr>
      </w:pPr>
    </w:p>
    <w:p w14:paraId="11050E32">
      <w:pPr>
        <w:pStyle w:val="11"/>
        <w:adjustRightInd w:val="0"/>
        <w:snapToGrid w:val="0"/>
        <w:spacing w:line="360" w:lineRule="auto"/>
        <w:ind w:right="23" w:rightChars="11" w:firstLine="640"/>
        <w:jc w:val="center"/>
        <w:rPr>
          <w:rFonts w:hAnsi="宋体"/>
          <w:b/>
          <w:sz w:val="32"/>
          <w:szCs w:val="32"/>
        </w:rPr>
      </w:pPr>
    </w:p>
    <w:p w14:paraId="74B63CDC">
      <w:pPr>
        <w:pStyle w:val="11"/>
        <w:adjustRightInd w:val="0"/>
        <w:snapToGrid w:val="0"/>
        <w:spacing w:line="360" w:lineRule="auto"/>
        <w:ind w:right="23" w:rightChars="11" w:firstLine="640"/>
        <w:rPr>
          <w:rFonts w:hAnsi="宋体"/>
          <w:b/>
          <w:sz w:val="32"/>
          <w:szCs w:val="32"/>
        </w:rPr>
      </w:pPr>
    </w:p>
    <w:p w14:paraId="1D409446">
      <w:pPr>
        <w:rPr>
          <w:rFonts w:hint="eastAsia" w:hAnsi="宋体"/>
          <w:b/>
          <w:sz w:val="32"/>
          <w:szCs w:val="32"/>
        </w:rPr>
      </w:pPr>
      <w:r>
        <w:rPr>
          <w:rFonts w:hint="eastAsia" w:hAnsi="宋体"/>
          <w:b/>
          <w:sz w:val="32"/>
          <w:szCs w:val="32"/>
        </w:rPr>
        <w:br w:type="page"/>
      </w:r>
    </w:p>
    <w:p w14:paraId="3D3F664D">
      <w:pPr>
        <w:pStyle w:val="11"/>
        <w:adjustRightInd w:val="0"/>
        <w:snapToGrid w:val="0"/>
        <w:spacing w:line="360" w:lineRule="auto"/>
        <w:ind w:right="23" w:rightChars="11" w:firstLine="640"/>
        <w:jc w:val="center"/>
        <w:rPr>
          <w:rFonts w:hAnsi="宋体"/>
          <w:b/>
          <w:sz w:val="32"/>
          <w:szCs w:val="32"/>
        </w:rPr>
      </w:pPr>
      <w:r>
        <w:rPr>
          <w:rFonts w:hint="eastAsia" w:hAnsi="宋体"/>
          <w:b/>
          <w:sz w:val="32"/>
          <w:szCs w:val="32"/>
        </w:rPr>
        <w:t>二、保证金缴纳证明材料（本项目不适用）</w:t>
      </w:r>
    </w:p>
    <w:p w14:paraId="6A7EDE8D">
      <w:pPr>
        <w:ind w:right="23" w:rightChars="11"/>
        <w:rPr>
          <w:rFonts w:ascii="宋体" w:hAnsi="宋体" w:cs="宋体"/>
        </w:rPr>
      </w:pPr>
      <w:r>
        <w:rPr>
          <w:rFonts w:hint="eastAsia" w:ascii="宋体" w:hAnsi="宋体" w:cs="宋体"/>
        </w:rPr>
        <w:t>1、提供付款凭证复印件。</w:t>
      </w:r>
    </w:p>
    <w:p w14:paraId="6A912862">
      <w:pPr>
        <w:adjustRightInd w:val="0"/>
        <w:snapToGrid w:val="0"/>
        <w:spacing w:line="360" w:lineRule="auto"/>
        <w:ind w:right="23" w:rightChars="11"/>
        <w:rPr>
          <w:rFonts w:ascii="宋体" w:hAnsi="宋体" w:cs="宋体"/>
        </w:rPr>
      </w:pPr>
      <w:r>
        <w:rPr>
          <w:rFonts w:hint="eastAsia" w:ascii="宋体" w:hAnsi="宋体" w:cs="宋体"/>
        </w:rPr>
        <w:t>2、根据供应商递交的《投标保证金退还申请书》上的账户信息，以转账或电汇方式退还至供应商的原缴纳账户。</w:t>
      </w:r>
    </w:p>
    <w:p w14:paraId="4EDA0687">
      <w:pPr>
        <w:adjustRightInd w:val="0"/>
        <w:snapToGrid w:val="0"/>
        <w:spacing w:line="360" w:lineRule="auto"/>
        <w:ind w:right="23" w:rightChars="11"/>
        <w:rPr>
          <w:rFonts w:ascii="宋体" w:hAnsi="宋体" w:cs="宋体"/>
          <w:bCs/>
        </w:rPr>
      </w:pPr>
    </w:p>
    <w:p w14:paraId="426992EC">
      <w:pPr>
        <w:spacing w:line="480" w:lineRule="exact"/>
        <w:ind w:right="23" w:rightChars="11" w:firstLine="482"/>
        <w:rPr>
          <w:rFonts w:ascii="宋体" w:hAnsi="宋体" w:cs="宋体"/>
          <w:b/>
          <w:bCs/>
          <w:sz w:val="28"/>
          <w:szCs w:val="28"/>
        </w:rPr>
      </w:pPr>
      <w:r>
        <w:rPr>
          <w:rFonts w:hint="eastAsia" w:ascii="宋体" w:hAnsi="宋体" w:cs="宋体"/>
          <w:sz w:val="24"/>
        </w:rPr>
        <w:t xml:space="preserve">附件4：                  </w:t>
      </w:r>
      <w:r>
        <w:rPr>
          <w:rFonts w:hint="eastAsia" w:ascii="宋体" w:hAnsi="宋体" w:cs="宋体"/>
          <w:b/>
          <w:bCs/>
          <w:sz w:val="28"/>
          <w:szCs w:val="28"/>
        </w:rPr>
        <w:t>保证金退还申请书</w:t>
      </w:r>
    </w:p>
    <w:p w14:paraId="46A13066">
      <w:pPr>
        <w:spacing w:line="480" w:lineRule="exact"/>
        <w:ind w:right="23" w:rightChars="11" w:firstLine="560"/>
        <w:jc w:val="center"/>
        <w:rPr>
          <w:rFonts w:ascii="宋体" w:hAnsi="宋体" w:cs="宋体"/>
          <w:b/>
          <w:bCs/>
          <w:sz w:val="28"/>
          <w:szCs w:val="28"/>
        </w:rPr>
      </w:pPr>
    </w:p>
    <w:p w14:paraId="372101F5">
      <w:pPr>
        <w:adjustRightInd w:val="0"/>
        <w:snapToGrid w:val="0"/>
        <w:spacing w:before="156" w:beforeLines="50" w:line="360" w:lineRule="auto"/>
        <w:ind w:right="23" w:rightChars="11"/>
        <w:rPr>
          <w:rFonts w:ascii="宋体" w:hAnsi="宋体" w:cs="宋体"/>
        </w:rPr>
      </w:pPr>
      <w:r>
        <w:rPr>
          <w:rFonts w:hint="eastAsia" w:ascii="宋体" w:hAnsi="宋体" w:cs="宋体"/>
        </w:rPr>
        <w:t xml:space="preserve">致 (采购人或采购代理机构)： </w:t>
      </w:r>
    </w:p>
    <w:p w14:paraId="1097FADB">
      <w:pPr>
        <w:adjustRightInd w:val="0"/>
        <w:snapToGrid w:val="0"/>
        <w:spacing w:before="156" w:beforeLines="50" w:line="360" w:lineRule="auto"/>
        <w:ind w:right="23" w:rightChars="11" w:firstLine="420" w:firstLineChars="200"/>
        <w:rPr>
          <w:rFonts w:ascii="宋体" w:hAnsi="宋体" w:cs="宋体"/>
        </w:rPr>
      </w:pPr>
      <w:r>
        <w:rPr>
          <w:rFonts w:hint="eastAsia" w:ascii="宋体" w:hAnsi="宋体" w:cs="宋体"/>
        </w:rPr>
        <w:t>我系参加（项目名称），委托代理编号：竞争性磋商的供应商，现申请按该项目磋商文件规定，退返保证金人民币(大写）￥(小写），保证金请退还到以下原缴纳账户：</w:t>
      </w:r>
    </w:p>
    <w:p w14:paraId="41D75117">
      <w:pPr>
        <w:adjustRightInd w:val="0"/>
        <w:snapToGrid w:val="0"/>
        <w:spacing w:before="312" w:line="360" w:lineRule="auto"/>
        <w:ind w:right="23" w:rightChars="11" w:firstLine="420" w:firstLineChars="200"/>
        <w:rPr>
          <w:rFonts w:ascii="宋体" w:hAnsi="宋体" w:cs="宋体"/>
          <w:u w:val="single"/>
        </w:rPr>
      </w:pPr>
      <w:r>
        <w:rPr>
          <w:rFonts w:hint="eastAsia" w:ascii="宋体" w:hAnsi="宋体" w:cs="宋体"/>
        </w:rPr>
        <w:t>户名：</w:t>
      </w:r>
    </w:p>
    <w:p w14:paraId="7B195B72">
      <w:pPr>
        <w:adjustRightInd w:val="0"/>
        <w:snapToGrid w:val="0"/>
        <w:spacing w:before="312" w:line="360" w:lineRule="auto"/>
        <w:ind w:right="23" w:rightChars="11" w:firstLine="420" w:firstLineChars="200"/>
        <w:rPr>
          <w:rFonts w:ascii="宋体" w:hAnsi="宋体" w:cs="宋体"/>
          <w:u w:val="single"/>
        </w:rPr>
      </w:pPr>
      <w:r>
        <w:rPr>
          <w:rFonts w:hint="eastAsia" w:ascii="宋体" w:hAnsi="宋体" w:cs="宋体"/>
        </w:rPr>
        <w:t>账号：</w:t>
      </w:r>
    </w:p>
    <w:p w14:paraId="042F4992">
      <w:pPr>
        <w:adjustRightInd w:val="0"/>
        <w:snapToGrid w:val="0"/>
        <w:spacing w:before="312" w:line="360" w:lineRule="auto"/>
        <w:ind w:right="23" w:rightChars="11" w:firstLine="420" w:firstLineChars="200"/>
        <w:rPr>
          <w:rFonts w:ascii="宋体" w:hAnsi="宋体" w:cs="宋体"/>
          <w:u w:val="single"/>
        </w:rPr>
      </w:pPr>
      <w:r>
        <w:rPr>
          <w:rFonts w:hint="eastAsia" w:ascii="宋体" w:hAnsi="宋体" w:cs="宋体"/>
        </w:rPr>
        <w:t>开户行：</w:t>
      </w:r>
    </w:p>
    <w:p w14:paraId="02060B18">
      <w:pPr>
        <w:adjustRightInd w:val="0"/>
        <w:snapToGrid w:val="0"/>
        <w:spacing w:before="312" w:line="360" w:lineRule="auto"/>
        <w:ind w:right="23" w:rightChars="11" w:firstLine="420" w:firstLineChars="200"/>
        <w:rPr>
          <w:rFonts w:ascii="宋体" w:hAnsi="宋体" w:cs="宋体"/>
        </w:rPr>
      </w:pPr>
      <w:r>
        <w:rPr>
          <w:rFonts w:hint="eastAsia" w:ascii="宋体" w:hAnsi="宋体" w:cs="宋体"/>
        </w:rPr>
        <w:t>开户行地址：省市</w:t>
      </w:r>
    </w:p>
    <w:p w14:paraId="78DD2300">
      <w:pPr>
        <w:adjustRightInd w:val="0"/>
        <w:snapToGrid w:val="0"/>
        <w:spacing w:before="312" w:line="360" w:lineRule="auto"/>
        <w:ind w:right="23" w:rightChars="11" w:firstLine="420" w:firstLineChars="200"/>
        <w:rPr>
          <w:rFonts w:ascii="宋体" w:hAnsi="宋体" w:cs="宋体"/>
        </w:rPr>
      </w:pPr>
      <w:r>
        <w:rPr>
          <w:rFonts w:hint="eastAsia" w:ascii="宋体" w:hAnsi="宋体" w:cs="宋体"/>
        </w:rPr>
        <w:t>如果提供的账户信息有误或因账户信息变更未及时通知，一切后果均由本单位自行负责。</w:t>
      </w:r>
    </w:p>
    <w:p w14:paraId="5F5307CE">
      <w:pPr>
        <w:adjustRightInd w:val="0"/>
        <w:snapToGrid w:val="0"/>
        <w:spacing w:before="312" w:line="360" w:lineRule="auto"/>
        <w:ind w:left="4428" w:leftChars="2109" w:right="23" w:rightChars="11"/>
        <w:rPr>
          <w:rFonts w:ascii="宋体" w:hAnsi="宋体" w:cs="宋体"/>
        </w:rPr>
      </w:pPr>
      <w:r>
        <w:rPr>
          <w:rFonts w:hint="eastAsia" w:ascii="宋体" w:hAnsi="宋体" w:cs="宋体"/>
        </w:rPr>
        <w:t>供应商(盖单位章)：</w:t>
      </w:r>
    </w:p>
    <w:p w14:paraId="246E2186">
      <w:pPr>
        <w:adjustRightInd w:val="0"/>
        <w:snapToGrid w:val="0"/>
        <w:spacing w:before="312" w:line="360" w:lineRule="auto"/>
        <w:ind w:left="4428" w:leftChars="2109" w:right="23" w:rightChars="11"/>
        <w:rPr>
          <w:rFonts w:ascii="宋体" w:hAnsi="宋体" w:cs="宋体"/>
        </w:rPr>
      </w:pPr>
      <w:r>
        <w:rPr>
          <w:rFonts w:hint="eastAsia" w:ascii="宋体" w:hAnsi="宋体" w:cs="宋体"/>
        </w:rPr>
        <w:t>联系人：</w:t>
      </w:r>
    </w:p>
    <w:p w14:paraId="1ABCDEC9">
      <w:pPr>
        <w:adjustRightInd w:val="0"/>
        <w:snapToGrid w:val="0"/>
        <w:spacing w:before="312" w:line="360" w:lineRule="auto"/>
        <w:ind w:left="4428" w:leftChars="2109" w:right="23" w:rightChars="11"/>
        <w:rPr>
          <w:rFonts w:ascii="宋体" w:hAnsi="宋体" w:cs="宋体"/>
        </w:rPr>
      </w:pPr>
      <w:r>
        <w:rPr>
          <w:rFonts w:hint="eastAsia" w:ascii="宋体" w:hAnsi="宋体" w:cs="宋体"/>
        </w:rPr>
        <w:t>移动电话：</w:t>
      </w:r>
    </w:p>
    <w:p w14:paraId="3299655C">
      <w:pPr>
        <w:adjustRightInd w:val="0"/>
        <w:snapToGrid w:val="0"/>
        <w:spacing w:before="312" w:line="360" w:lineRule="auto"/>
        <w:ind w:left="4428" w:leftChars="2109" w:right="23" w:rightChars="11"/>
        <w:rPr>
          <w:rFonts w:ascii="宋体" w:hAnsi="宋体" w:cs="宋体"/>
        </w:rPr>
      </w:pPr>
      <w:r>
        <w:rPr>
          <w:rFonts w:hint="eastAsia" w:ascii="宋体" w:hAnsi="宋体" w:cs="宋体"/>
        </w:rPr>
        <w:t>固定电话：</w:t>
      </w:r>
    </w:p>
    <w:p w14:paraId="7F657A32">
      <w:pPr>
        <w:adjustRightInd w:val="0"/>
        <w:snapToGrid w:val="0"/>
        <w:spacing w:before="312" w:line="360" w:lineRule="auto"/>
        <w:ind w:left="4428" w:leftChars="2109" w:right="23" w:rightChars="11"/>
        <w:rPr>
          <w:rFonts w:ascii="宋体" w:hAnsi="宋体" w:cs="宋体"/>
        </w:rPr>
      </w:pPr>
      <w:r>
        <w:rPr>
          <w:rFonts w:hint="eastAsia" w:ascii="宋体" w:hAnsi="宋体" w:cs="宋体"/>
        </w:rPr>
        <w:t>日期：     年    月    日</w:t>
      </w:r>
    </w:p>
    <w:p w14:paraId="4C530D59">
      <w:pPr>
        <w:pStyle w:val="11"/>
        <w:adjustRightInd w:val="0"/>
        <w:snapToGrid w:val="0"/>
        <w:spacing w:before="156" w:beforeLines="50" w:line="360" w:lineRule="auto"/>
        <w:ind w:right="23" w:rightChars="11"/>
        <w:rPr>
          <w:rFonts w:hAnsi="宋体"/>
        </w:rPr>
      </w:pPr>
    </w:p>
    <w:p w14:paraId="257F1F4F">
      <w:pPr>
        <w:pStyle w:val="11"/>
        <w:adjustRightInd w:val="0"/>
        <w:snapToGrid w:val="0"/>
        <w:spacing w:before="156" w:beforeLines="50" w:line="360" w:lineRule="auto"/>
        <w:ind w:right="23" w:rightChars="11"/>
        <w:rPr>
          <w:rFonts w:hAnsi="宋体"/>
        </w:rPr>
      </w:pPr>
      <w:r>
        <w:rPr>
          <w:rFonts w:hint="eastAsia" w:hAnsi="宋体"/>
        </w:rPr>
        <w:t>说明：《保证金退还申请书》需单独递交，不得装订在响应文件中；可在办理保证金交割手续时提交，也可在提交首次响应文件截止时间后补交，未交《保证金退还申请书》的供应商，将影响其保证金的正常退还。</w:t>
      </w:r>
    </w:p>
    <w:p w14:paraId="265183B4">
      <w:pPr>
        <w:pStyle w:val="35"/>
        <w:rPr>
          <w:rFonts w:ascii="宋体" w:hAnsi="宋体" w:eastAsia="宋体" w:cs="宋体"/>
        </w:rPr>
      </w:pPr>
    </w:p>
    <w:p w14:paraId="0D1847EC">
      <w:pPr>
        <w:rPr>
          <w:rFonts w:hint="eastAsia" w:ascii="宋体" w:hAnsi="宋体" w:cs="宋体"/>
          <w:b/>
          <w:sz w:val="32"/>
          <w:szCs w:val="32"/>
        </w:rPr>
      </w:pPr>
      <w:r>
        <w:rPr>
          <w:rFonts w:hint="eastAsia" w:ascii="宋体" w:hAnsi="宋体" w:cs="宋体"/>
          <w:b/>
          <w:sz w:val="32"/>
          <w:szCs w:val="32"/>
        </w:rPr>
        <w:br w:type="page"/>
      </w:r>
    </w:p>
    <w:p w14:paraId="3628912A">
      <w:pPr>
        <w:adjustRightInd w:val="0"/>
        <w:snapToGrid w:val="0"/>
        <w:spacing w:line="360" w:lineRule="auto"/>
        <w:ind w:right="23" w:rightChars="11" w:firstLine="640"/>
        <w:jc w:val="center"/>
        <w:outlineLvl w:val="0"/>
        <w:rPr>
          <w:rFonts w:ascii="宋体" w:hAnsi="宋体" w:cs="宋体"/>
          <w:b/>
          <w:sz w:val="32"/>
          <w:szCs w:val="32"/>
        </w:rPr>
      </w:pPr>
      <w:r>
        <w:rPr>
          <w:rFonts w:hint="eastAsia" w:ascii="宋体" w:hAnsi="宋体" w:cs="宋体"/>
          <w:b/>
          <w:sz w:val="32"/>
          <w:szCs w:val="32"/>
        </w:rPr>
        <w:t>三、供应商的资格证明材料</w:t>
      </w:r>
    </w:p>
    <w:p w14:paraId="39E87A2E">
      <w:pPr>
        <w:spacing w:line="480" w:lineRule="exact"/>
        <w:ind w:firstLine="602"/>
        <w:rPr>
          <w:rFonts w:ascii="宋体" w:hAnsi="宋体" w:cs="黑体"/>
          <w:sz w:val="30"/>
          <w:szCs w:val="30"/>
        </w:rPr>
      </w:pPr>
      <w:r>
        <w:rPr>
          <w:rFonts w:hint="eastAsia" w:ascii="宋体" w:hAnsi="宋体" w:cs="黑体"/>
          <w:sz w:val="30"/>
          <w:szCs w:val="30"/>
        </w:rPr>
        <w:t>附件</w:t>
      </w:r>
      <w:r>
        <w:rPr>
          <w:rFonts w:ascii="宋体" w:hAnsi="宋体" w:cs="黑体"/>
          <w:sz w:val="30"/>
          <w:szCs w:val="30"/>
        </w:rPr>
        <w:t xml:space="preserve">4      </w:t>
      </w:r>
      <w:r>
        <w:rPr>
          <w:rFonts w:hint="eastAsia" w:ascii="宋体" w:hAnsi="宋体" w:cs="黑体"/>
          <w:sz w:val="30"/>
          <w:szCs w:val="30"/>
        </w:rPr>
        <w:t>磋商文件规定的基本资格条件证明资料</w:t>
      </w:r>
    </w:p>
    <w:p w14:paraId="2CB7DE2B">
      <w:pPr>
        <w:pStyle w:val="35"/>
      </w:pPr>
    </w:p>
    <w:p w14:paraId="6431D0D0">
      <w:pPr>
        <w:spacing w:line="480" w:lineRule="exact"/>
        <w:rPr>
          <w:rFonts w:ascii="宋体" w:hAnsi="宋体" w:cs="Times New Roman"/>
        </w:rPr>
      </w:pPr>
      <w:r>
        <w:rPr>
          <w:rFonts w:hint="eastAsia" w:ascii="宋体" w:hAnsi="宋体" w:cs="宋体"/>
        </w:rPr>
        <w:t>备注：提供第二章磋商须知第</w:t>
      </w:r>
      <w:r>
        <w:rPr>
          <w:rFonts w:ascii="宋体" w:hAnsi="宋体" w:cs="宋体"/>
        </w:rPr>
        <w:t>3.1</w:t>
      </w:r>
      <w:r>
        <w:rPr>
          <w:rFonts w:hint="eastAsia" w:ascii="宋体" w:hAnsi="宋体" w:cs="宋体"/>
        </w:rPr>
        <w:t>款供应商基本资格条件证明资料的复印件。</w:t>
      </w:r>
    </w:p>
    <w:p w14:paraId="13DA8C84">
      <w:pPr>
        <w:adjustRightInd w:val="0"/>
        <w:snapToGrid w:val="0"/>
        <w:spacing w:line="360" w:lineRule="auto"/>
        <w:ind w:right="23" w:rightChars="11" w:firstLine="640"/>
        <w:jc w:val="center"/>
        <w:outlineLvl w:val="0"/>
        <w:rPr>
          <w:rFonts w:ascii="宋体" w:hAnsi="宋体" w:cs="宋体"/>
          <w:b/>
          <w:sz w:val="32"/>
          <w:szCs w:val="32"/>
        </w:rPr>
      </w:pPr>
    </w:p>
    <w:p w14:paraId="60BD212D">
      <w:pPr>
        <w:spacing w:line="480" w:lineRule="exact"/>
        <w:ind w:right="23" w:rightChars="11" w:firstLine="482"/>
        <w:jc w:val="center"/>
        <w:rPr>
          <w:rFonts w:hint="eastAsia" w:ascii="宋体" w:hAnsi="宋体" w:eastAsia="宋体" w:cs="宋体"/>
          <w:b/>
          <w:bCs/>
          <w:sz w:val="28"/>
          <w:szCs w:val="28"/>
        </w:rPr>
      </w:pPr>
      <w:r>
        <w:rPr>
          <w:rFonts w:hint="eastAsia" w:ascii="宋体" w:hAnsi="宋体" w:eastAsia="宋体" w:cs="宋体"/>
          <w:b/>
          <w:bCs/>
          <w:sz w:val="28"/>
          <w:szCs w:val="28"/>
        </w:rPr>
        <w:t>湖南省政府采购供应商资格承诺函</w:t>
      </w:r>
    </w:p>
    <w:p w14:paraId="104D8AD4">
      <w:pPr>
        <w:spacing w:line="266" w:lineRule="auto"/>
        <w:rPr>
          <w:rFonts w:ascii="Arial" w:hAnsi="Times New Roman" w:eastAsia="宋体" w:cs="Times New Roman"/>
          <w:szCs w:val="24"/>
        </w:rPr>
      </w:pPr>
    </w:p>
    <w:p w14:paraId="1702E67A">
      <w:pPr>
        <w:spacing w:line="266" w:lineRule="auto"/>
        <w:rPr>
          <w:rFonts w:ascii="Arial" w:hAnsi="Times New Roman" w:eastAsia="宋体" w:cs="Times New Roman"/>
          <w:szCs w:val="24"/>
        </w:rPr>
      </w:pPr>
    </w:p>
    <w:p w14:paraId="60602320">
      <w:pPr>
        <w:autoSpaceDE w:val="0"/>
        <w:autoSpaceDN w:val="0"/>
        <w:adjustRightInd w:val="0"/>
        <w:snapToGrid w:val="0"/>
        <w:spacing w:before="156"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本公司独立承担民事责任、具有良好的商业信誉和健全的财务会计制度、依法缴纳税收和社会保障资金，在前三年的经营活 动中无重大违法记录，未列入严重失信行为名单，符合政府采购供应商的基本资格要求。</w:t>
      </w:r>
    </w:p>
    <w:p w14:paraId="5CDA8F34">
      <w:pPr>
        <w:autoSpaceDE w:val="0"/>
        <w:autoSpaceDN w:val="0"/>
        <w:adjustRightInd w:val="0"/>
        <w:snapToGrid w:val="0"/>
        <w:spacing w:before="156"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按 照《 政 府 采 购 促 进 中 小 企 业 发 展 管 理 办 法》 ( 财 库〔2020〕46 号 )，本公司企业规模为：</w:t>
      </w:r>
      <w:r>
        <w:rPr>
          <w:rFonts w:hint="eastAsia" w:ascii="宋体" w:hAnsi="宋体" w:eastAsia="宋体" w:cs="宋体"/>
          <w:kern w:val="0"/>
          <w:szCs w:val="21"/>
        </w:rPr>
        <w:sym w:font="Wingdings" w:char="00A8"/>
      </w:r>
      <w:r>
        <w:rPr>
          <w:rFonts w:hint="eastAsia" w:ascii="宋体" w:hAnsi="宋体" w:eastAsia="宋体" w:cs="宋体"/>
          <w:kern w:val="0"/>
          <w:szCs w:val="21"/>
        </w:rPr>
        <w:t xml:space="preserve">大型 </w:t>
      </w:r>
      <w:r>
        <w:rPr>
          <w:rFonts w:hint="eastAsia" w:ascii="宋体" w:hAnsi="宋体" w:eastAsia="宋体" w:cs="宋体"/>
          <w:kern w:val="0"/>
          <w:szCs w:val="21"/>
        </w:rPr>
        <w:sym w:font="Wingdings" w:char="00A8"/>
      </w:r>
      <w:r>
        <w:rPr>
          <w:rFonts w:hint="eastAsia" w:ascii="宋体" w:hAnsi="宋体" w:eastAsia="宋体" w:cs="宋体"/>
          <w:kern w:val="0"/>
          <w:szCs w:val="21"/>
        </w:rPr>
        <w:t xml:space="preserve">中型 </w:t>
      </w:r>
      <w:r>
        <w:rPr>
          <w:rFonts w:hint="eastAsia" w:ascii="宋体" w:hAnsi="宋体" w:eastAsia="宋体" w:cs="宋体"/>
          <w:kern w:val="0"/>
          <w:szCs w:val="21"/>
        </w:rPr>
        <w:sym w:font="Wingdings" w:char="00A8"/>
      </w:r>
      <w:r>
        <w:rPr>
          <w:rFonts w:hint="eastAsia" w:ascii="宋体" w:hAnsi="宋体" w:eastAsia="宋体" w:cs="宋体"/>
          <w:kern w:val="0"/>
          <w:szCs w:val="21"/>
        </w:rPr>
        <w:t xml:space="preserve">小型 </w:t>
      </w:r>
      <w:r>
        <w:rPr>
          <w:rFonts w:hint="eastAsia" w:ascii="宋体" w:hAnsi="宋体" w:eastAsia="宋体" w:cs="宋体"/>
          <w:kern w:val="0"/>
          <w:szCs w:val="21"/>
        </w:rPr>
        <w:sym w:font="Wingdings" w:char="00A8"/>
      </w:r>
      <w:r>
        <w:rPr>
          <w:rFonts w:hint="eastAsia" w:ascii="宋体" w:hAnsi="宋体" w:eastAsia="宋体" w:cs="宋体"/>
          <w:kern w:val="0"/>
          <w:szCs w:val="21"/>
        </w:rPr>
        <w:t>微 型</w:t>
      </w:r>
    </w:p>
    <w:p w14:paraId="7C752E98">
      <w:pPr>
        <w:autoSpaceDE w:val="0"/>
        <w:autoSpaceDN w:val="0"/>
        <w:adjustRightInd w:val="0"/>
        <w:snapToGrid w:val="0"/>
        <w:spacing w:before="156"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sym w:font="Wingdings" w:char="00A8"/>
      </w:r>
      <w:r>
        <w:rPr>
          <w:rFonts w:hint="eastAsia" w:ascii="宋体" w:hAnsi="宋体" w:eastAsia="宋体" w:cs="宋体"/>
          <w:kern w:val="0"/>
          <w:szCs w:val="21"/>
        </w:rPr>
        <w:t>本公司自愿入驻湖南省政府采购电子卖场，遵守《湖南省政府采购电子卖场管理办法》( 湘财购〔2019〕27 号 )，如违反承诺，同意金融机构将增信保证划缴国库 ( 非电子卖场采购活动项目不需勾选)。</w:t>
      </w:r>
    </w:p>
    <w:p w14:paraId="4CBD1D28">
      <w:pPr>
        <w:spacing w:line="431" w:lineRule="auto"/>
        <w:rPr>
          <w:rFonts w:hint="eastAsia" w:ascii="宋体" w:hAnsi="宋体" w:eastAsia="宋体" w:cs="宋体"/>
          <w:szCs w:val="24"/>
        </w:rPr>
      </w:pPr>
    </w:p>
    <w:p w14:paraId="2958BE0E">
      <w:pPr>
        <w:adjustRightInd w:val="0"/>
        <w:snapToGrid w:val="0"/>
        <w:spacing w:before="156" w:beforeLines="50" w:line="360" w:lineRule="auto"/>
        <w:jc w:val="right"/>
        <w:rPr>
          <w:rFonts w:hint="eastAsia" w:ascii="宋体" w:hAnsi="宋体" w:eastAsia="宋体" w:cs="宋体"/>
          <w:kern w:val="0"/>
          <w:szCs w:val="21"/>
          <w:lang w:val="zh-CN"/>
        </w:rPr>
      </w:pPr>
      <w:r>
        <w:rPr>
          <w:rFonts w:hint="eastAsia" w:ascii="宋体" w:hAnsi="宋体" w:eastAsia="宋体" w:cs="宋体"/>
          <w:kern w:val="0"/>
          <w:szCs w:val="21"/>
          <w:lang w:val="zh-CN"/>
        </w:rPr>
        <w:t>公司 (单位) 名称 (盖章)</w:t>
      </w:r>
    </w:p>
    <w:p w14:paraId="00C83FF0">
      <w:pPr>
        <w:adjustRightInd w:val="0"/>
        <w:snapToGrid w:val="0"/>
        <w:spacing w:before="156" w:beforeLines="50" w:line="360" w:lineRule="auto"/>
        <w:rPr>
          <w:rFonts w:hint="eastAsia" w:ascii="宋体" w:hAnsi="宋体" w:eastAsia="宋体" w:cs="宋体"/>
          <w:kern w:val="0"/>
          <w:szCs w:val="21"/>
          <w:lang w:val="zh-CN"/>
        </w:rPr>
      </w:pPr>
    </w:p>
    <w:p w14:paraId="5F97BAA1">
      <w:pPr>
        <w:adjustRightInd w:val="0"/>
        <w:snapToGrid w:val="0"/>
        <w:spacing w:before="156" w:beforeLines="50" w:line="360" w:lineRule="auto"/>
        <w:jc w:val="right"/>
        <w:rPr>
          <w:rFonts w:hint="eastAsia" w:ascii="宋体" w:hAnsi="宋体" w:eastAsia="宋体" w:cs="宋体"/>
          <w:kern w:val="0"/>
          <w:szCs w:val="21"/>
          <w:lang w:val="zh-CN"/>
        </w:rPr>
      </w:pPr>
      <w:r>
        <w:rPr>
          <w:rFonts w:hint="eastAsia" w:ascii="宋体" w:hAnsi="宋体" w:eastAsia="宋体" w:cs="宋体"/>
          <w:kern w:val="0"/>
          <w:szCs w:val="21"/>
          <w:lang w:val="zh-CN"/>
        </w:rPr>
        <w:tab/>
      </w:r>
      <w:r>
        <w:rPr>
          <w:rFonts w:hint="eastAsia" w:ascii="宋体" w:hAnsi="宋体" w:eastAsia="宋体" w:cs="宋体"/>
          <w:kern w:val="0"/>
          <w:szCs w:val="21"/>
          <w:lang w:val="zh-CN"/>
        </w:rPr>
        <w:t>年   月    日</w:t>
      </w:r>
    </w:p>
    <w:p w14:paraId="6A5640DB">
      <w:pPr>
        <w:adjustRightInd w:val="0"/>
        <w:snapToGrid w:val="0"/>
        <w:spacing w:before="156" w:beforeLines="50" w:line="360" w:lineRule="auto"/>
        <w:rPr>
          <w:rFonts w:hint="eastAsia" w:ascii="宋体" w:hAnsi="宋体" w:eastAsia="宋体" w:cs="宋体"/>
          <w:kern w:val="0"/>
          <w:szCs w:val="21"/>
          <w:lang w:val="zh-CN"/>
        </w:rPr>
      </w:pPr>
    </w:p>
    <w:p w14:paraId="49651389">
      <w:pPr>
        <w:adjustRightInd w:val="0"/>
        <w:snapToGrid w:val="0"/>
        <w:spacing w:before="156" w:beforeLines="50" w:line="360" w:lineRule="auto"/>
        <w:rPr>
          <w:rFonts w:hint="eastAsia" w:ascii="宋体" w:hAnsi="宋体" w:eastAsia="宋体" w:cs="宋体"/>
          <w:kern w:val="0"/>
          <w:szCs w:val="21"/>
          <w:lang w:val="zh-CN"/>
        </w:rPr>
      </w:pPr>
    </w:p>
    <w:p w14:paraId="18B91DDA">
      <w:pPr>
        <w:adjustRightInd w:val="0"/>
        <w:snapToGrid w:val="0"/>
        <w:spacing w:before="156" w:beforeLines="50" w:line="360" w:lineRule="auto"/>
        <w:rPr>
          <w:rFonts w:hint="eastAsia" w:ascii="宋体" w:hAnsi="宋体" w:eastAsia="宋体" w:cs="宋体"/>
          <w:kern w:val="0"/>
          <w:szCs w:val="21"/>
          <w:lang w:val="zh-CN"/>
        </w:rPr>
      </w:pPr>
      <w:r>
        <w:rPr>
          <w:rFonts w:hint="eastAsia" w:ascii="宋体" w:hAnsi="宋体" w:eastAsia="宋体" w:cs="宋体"/>
          <w:kern w:val="0"/>
          <w:szCs w:val="21"/>
          <w:lang w:val="zh-CN"/>
        </w:rPr>
        <w:t>机构代码、注册登记机构、 日期、有效期、注册资本、地址、经济行业、经济性质</w:t>
      </w:r>
    </w:p>
    <w:p w14:paraId="293A9F3D">
      <w:pPr>
        <w:adjustRightInd w:val="0"/>
        <w:snapToGrid w:val="0"/>
        <w:spacing w:before="156" w:beforeLines="50" w:line="360" w:lineRule="auto"/>
        <w:rPr>
          <w:rFonts w:hint="eastAsia" w:ascii="宋体" w:hAnsi="宋体" w:eastAsia="宋体" w:cs="宋体"/>
          <w:kern w:val="0"/>
          <w:szCs w:val="21"/>
          <w:lang w:val="zh-CN"/>
        </w:rPr>
      </w:pPr>
      <w:r>
        <w:rPr>
          <w:rFonts w:hint="eastAsia" w:ascii="宋体" w:hAnsi="宋体" w:eastAsia="宋体" w:cs="宋体"/>
          <w:kern w:val="0"/>
          <w:szCs w:val="21"/>
          <w:lang w:val="zh-CN"/>
        </w:rPr>
        <w:t xml:space="preserve">法定代表人 (负责人) 姓名 (签字)、身份证号、手机号： </w:t>
      </w:r>
    </w:p>
    <w:p w14:paraId="66861BCA">
      <w:pPr>
        <w:adjustRightInd w:val="0"/>
        <w:snapToGrid w:val="0"/>
        <w:spacing w:before="156" w:beforeLines="50" w:line="360" w:lineRule="auto"/>
        <w:rPr>
          <w:rFonts w:hint="eastAsia" w:ascii="宋体" w:hAnsi="宋体" w:eastAsia="宋体" w:cs="宋体"/>
          <w:kern w:val="0"/>
          <w:szCs w:val="21"/>
          <w:lang w:val="zh-CN"/>
        </w:rPr>
      </w:pPr>
      <w:r>
        <w:rPr>
          <w:rFonts w:hint="eastAsia" w:ascii="宋体" w:hAnsi="宋体" w:eastAsia="宋体" w:cs="宋体"/>
          <w:kern w:val="0"/>
          <w:szCs w:val="21"/>
          <w:lang w:val="zh-CN"/>
        </w:rPr>
        <w:t>授权代表人姓名 (签字)、身份证号、手机号：</w:t>
      </w:r>
    </w:p>
    <w:p w14:paraId="7BC82138">
      <w:pPr>
        <w:adjustRightInd w:val="0"/>
        <w:snapToGrid w:val="0"/>
        <w:spacing w:line="360" w:lineRule="auto"/>
        <w:ind w:right="23" w:rightChars="11" w:firstLine="640"/>
        <w:jc w:val="center"/>
        <w:outlineLvl w:val="0"/>
        <w:rPr>
          <w:rFonts w:ascii="宋体" w:hAnsi="宋体" w:cs="宋体"/>
          <w:b/>
          <w:sz w:val="32"/>
          <w:szCs w:val="32"/>
        </w:rPr>
      </w:pPr>
    </w:p>
    <w:p w14:paraId="378BBAA5">
      <w:pPr>
        <w:adjustRightInd w:val="0"/>
        <w:snapToGrid w:val="0"/>
        <w:spacing w:line="360" w:lineRule="auto"/>
        <w:ind w:right="23" w:rightChars="11" w:firstLine="640"/>
        <w:jc w:val="center"/>
        <w:outlineLvl w:val="0"/>
        <w:rPr>
          <w:rFonts w:ascii="宋体" w:hAnsi="宋体" w:cs="宋体"/>
          <w:b/>
          <w:sz w:val="32"/>
          <w:szCs w:val="32"/>
        </w:rPr>
      </w:pPr>
    </w:p>
    <w:p w14:paraId="1DD57EBC">
      <w:pPr>
        <w:rPr>
          <w:rFonts w:ascii="宋体" w:hAnsi="宋体" w:eastAsia="宋体" w:cs="Times New Roman"/>
          <w:color w:val="auto"/>
          <w:sz w:val="30"/>
          <w:szCs w:val="30"/>
        </w:rPr>
      </w:pPr>
      <w:r>
        <w:rPr>
          <w:rFonts w:hint="eastAsia" w:ascii="宋体" w:hAnsi="宋体" w:cs="宋体"/>
          <w:b/>
          <w:sz w:val="32"/>
          <w:szCs w:val="32"/>
        </w:rPr>
        <w:br w:type="page"/>
      </w:r>
      <w:r>
        <w:rPr>
          <w:rFonts w:hint="eastAsia" w:ascii="宋体" w:hAnsi="宋体" w:eastAsia="宋体" w:cs="黑体"/>
          <w:color w:val="auto"/>
          <w:sz w:val="30"/>
          <w:szCs w:val="30"/>
        </w:rPr>
        <w:t>附件</w:t>
      </w:r>
      <w:r>
        <w:rPr>
          <w:rFonts w:ascii="宋体" w:hAnsi="宋体" w:eastAsia="宋体" w:cs="黑体"/>
          <w:color w:val="auto"/>
          <w:sz w:val="30"/>
          <w:szCs w:val="30"/>
        </w:rPr>
        <w:t xml:space="preserve">5  </w:t>
      </w:r>
      <w:r>
        <w:rPr>
          <w:rFonts w:hint="eastAsia" w:ascii="宋体" w:hAnsi="宋体" w:eastAsia="宋体" w:cs="黑体"/>
          <w:color w:val="auto"/>
          <w:sz w:val="30"/>
          <w:szCs w:val="30"/>
        </w:rPr>
        <w:t>磋商文件规定的特定资格条件证明资料</w:t>
      </w:r>
    </w:p>
    <w:p w14:paraId="31D6D191">
      <w:pPr>
        <w:spacing w:line="480" w:lineRule="exact"/>
        <w:rPr>
          <w:rFonts w:ascii="宋体" w:hAnsi="宋体" w:eastAsia="宋体" w:cs="Times New Roman"/>
          <w:color w:val="auto"/>
        </w:rPr>
      </w:pPr>
    </w:p>
    <w:p w14:paraId="748BF8F8">
      <w:pPr>
        <w:spacing w:line="480" w:lineRule="exact"/>
        <w:rPr>
          <w:rFonts w:ascii="宋体" w:hAnsi="宋体" w:eastAsia="宋体" w:cs="Times New Roman"/>
          <w:color w:val="auto"/>
        </w:rPr>
      </w:pPr>
      <w:r>
        <w:rPr>
          <w:rFonts w:hint="eastAsia" w:ascii="宋体" w:hAnsi="宋体" w:eastAsia="宋体" w:cs="宋体"/>
          <w:color w:val="auto"/>
        </w:rPr>
        <w:t>备注：提供第二章磋商须知第</w:t>
      </w:r>
      <w:r>
        <w:rPr>
          <w:rFonts w:ascii="宋体" w:hAnsi="宋体" w:eastAsia="宋体" w:cs="宋体"/>
          <w:color w:val="auto"/>
        </w:rPr>
        <w:t>3.1</w:t>
      </w:r>
      <w:r>
        <w:rPr>
          <w:rFonts w:hint="eastAsia" w:ascii="宋体" w:hAnsi="宋体" w:eastAsia="宋体" w:cs="宋体"/>
          <w:color w:val="auto"/>
        </w:rPr>
        <w:t>款供应商特定资格条件证明资料。</w:t>
      </w:r>
    </w:p>
    <w:p w14:paraId="21AA8B55">
      <w:pPr>
        <w:spacing w:line="480" w:lineRule="exact"/>
        <w:rPr>
          <w:rFonts w:ascii="宋体" w:hAnsi="宋体" w:eastAsia="宋体" w:cs="Times New Roman"/>
          <w:color w:val="auto"/>
        </w:rPr>
      </w:pPr>
    </w:p>
    <w:p w14:paraId="366370F2">
      <w:pPr>
        <w:jc w:val="center"/>
        <w:rPr>
          <w:rFonts w:hint="eastAsia" w:ascii="Calibri" w:hAnsi="Calibri" w:eastAsia="宋体" w:cs="Times New Roman"/>
          <w:b/>
          <w:bCs/>
          <w:sz w:val="36"/>
          <w:szCs w:val="36"/>
        </w:rPr>
      </w:pPr>
      <w:r>
        <w:rPr>
          <w:rFonts w:hint="eastAsia" w:ascii="Calibri" w:hAnsi="Calibri" w:eastAsia="宋体" w:cs="Times New Roman"/>
          <w:b/>
          <w:bCs/>
          <w:sz w:val="36"/>
          <w:szCs w:val="36"/>
          <w:lang w:eastAsia="zh-CN"/>
        </w:rPr>
        <w:t>标</w:t>
      </w:r>
      <w:r>
        <w:rPr>
          <w:rFonts w:hint="eastAsia" w:ascii="Calibri" w:hAnsi="Calibri" w:eastAsia="宋体" w:cs="Times New Roman"/>
          <w:b/>
          <w:bCs/>
          <w:sz w:val="36"/>
          <w:szCs w:val="36"/>
        </w:rPr>
        <w:t>前</w:t>
      </w:r>
      <w:r>
        <w:rPr>
          <w:rFonts w:hint="eastAsia" w:ascii="Calibri" w:hAnsi="Calibri" w:eastAsia="宋体" w:cs="Times New Roman"/>
          <w:b/>
          <w:bCs/>
          <w:sz w:val="36"/>
          <w:szCs w:val="36"/>
          <w:lang w:eastAsia="zh-CN"/>
        </w:rPr>
        <w:t>诚</w:t>
      </w:r>
      <w:r>
        <w:rPr>
          <w:rFonts w:hint="eastAsia" w:ascii="Calibri" w:hAnsi="Calibri" w:eastAsia="宋体" w:cs="Times New Roman"/>
          <w:b/>
          <w:bCs/>
          <w:sz w:val="36"/>
          <w:szCs w:val="36"/>
        </w:rPr>
        <w:t>信承诺书</w:t>
      </w:r>
    </w:p>
    <w:p w14:paraId="4952E75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Calibri" w:hAnsi="Calibri" w:eastAsia="宋体" w:cs="Times New Roman"/>
          <w:sz w:val="28"/>
          <w:szCs w:val="28"/>
        </w:rPr>
      </w:pPr>
      <w:r>
        <w:rPr>
          <w:rFonts w:hint="eastAsia" w:ascii="Calibri" w:hAnsi="Calibri" w:eastAsia="宋体" w:cs="Times New Roman"/>
          <w:kern w:val="2"/>
          <w:sz w:val="28"/>
          <w:szCs w:val="28"/>
          <w:lang w:val="en-US" w:eastAsia="zh-CN" w:bidi="ar-SA"/>
        </w:rPr>
        <w:t>（一）</w:t>
      </w:r>
      <w:r>
        <w:rPr>
          <w:rFonts w:hint="eastAsia" w:ascii="Calibri" w:hAnsi="Calibri" w:eastAsia="宋体" w:cs="Times New Roman"/>
          <w:sz w:val="28"/>
          <w:szCs w:val="28"/>
        </w:rPr>
        <w:t>本单位</w:t>
      </w:r>
      <w:r>
        <w:rPr>
          <w:rFonts w:hint="eastAsia" w:ascii="Calibri" w:hAnsi="Calibri" w:eastAsia="宋体" w:cs="Times New Roman"/>
          <w:sz w:val="28"/>
          <w:szCs w:val="28"/>
          <w:lang w:eastAsia="zh-CN"/>
        </w:rPr>
        <w:t>依据采购（招标）文件</w:t>
      </w:r>
      <w:r>
        <w:rPr>
          <w:rFonts w:hint="eastAsia" w:ascii="Calibri" w:hAnsi="Calibri" w:eastAsia="宋体" w:cs="Times New Roman"/>
          <w:sz w:val="28"/>
          <w:szCs w:val="28"/>
        </w:rPr>
        <w:t>填报或提交的所有资料和信息，均合法、真实、准确、有效，无任何伪造、篡改、虚假</w:t>
      </w:r>
      <w:r>
        <w:rPr>
          <w:rFonts w:hint="eastAsia" w:cs="Times New Roman"/>
          <w:sz w:val="28"/>
          <w:szCs w:val="28"/>
          <w:lang w:val="en-US" w:eastAsia="zh-CN"/>
        </w:rPr>
        <w:t>成分</w:t>
      </w:r>
      <w:r>
        <w:rPr>
          <w:rFonts w:hint="eastAsia" w:ascii="Calibri" w:hAnsi="Calibri" w:eastAsia="宋体" w:cs="Times New Roman"/>
          <w:sz w:val="28"/>
          <w:szCs w:val="28"/>
        </w:rPr>
        <w:t>。</w:t>
      </w:r>
    </w:p>
    <w:p w14:paraId="2838EB8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Calibri" w:hAnsi="Calibri" w:eastAsia="宋体" w:cs="Times New Roman"/>
          <w:sz w:val="28"/>
          <w:szCs w:val="28"/>
        </w:rPr>
      </w:pPr>
      <w:r>
        <w:rPr>
          <w:rFonts w:hint="eastAsia" w:ascii="Calibri" w:hAnsi="Calibri" w:eastAsia="宋体" w:cs="Times New Roman"/>
          <w:kern w:val="2"/>
          <w:sz w:val="28"/>
          <w:szCs w:val="28"/>
          <w:lang w:val="en-US" w:eastAsia="zh-CN" w:bidi="ar-SA"/>
        </w:rPr>
        <w:t>（二）</w:t>
      </w:r>
      <w:r>
        <w:rPr>
          <w:rFonts w:hint="eastAsia" w:ascii="Calibri" w:hAnsi="Calibri" w:eastAsia="宋体" w:cs="Times New Roman"/>
          <w:sz w:val="28"/>
          <w:szCs w:val="28"/>
        </w:rPr>
        <w:t>参与</w:t>
      </w:r>
      <w:r>
        <w:rPr>
          <w:rFonts w:hint="eastAsia" w:ascii="Calibri" w:hAnsi="Calibri" w:eastAsia="宋体" w:cs="Times New Roman"/>
          <w:sz w:val="28"/>
          <w:szCs w:val="28"/>
          <w:lang w:eastAsia="zh-CN"/>
        </w:rPr>
        <w:t>本次采购（招标）</w:t>
      </w:r>
      <w:r>
        <w:rPr>
          <w:rFonts w:hint="eastAsia" w:ascii="Calibri" w:hAnsi="Calibri" w:eastAsia="宋体" w:cs="Times New Roman"/>
          <w:sz w:val="28"/>
          <w:szCs w:val="28"/>
        </w:rPr>
        <w:t>活动系本单位自愿行为。保证无组织或参与围标、串标、出卖（借）、转让资质证书或接受他人挂靠投标、以他人名义参与竞争或以其他方式弄虚作假骗取中标（成交）、恶意报价、恶意投诉等违法违规行为。</w:t>
      </w:r>
    </w:p>
    <w:p w14:paraId="3669D14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Calibri" w:hAnsi="Calibri" w:eastAsia="宋体" w:cs="Times New Roman"/>
          <w:sz w:val="28"/>
          <w:szCs w:val="28"/>
        </w:rPr>
      </w:pPr>
      <w:r>
        <w:rPr>
          <w:rFonts w:hint="eastAsia" w:ascii="Calibri" w:hAnsi="Calibri" w:eastAsia="宋体" w:cs="Times New Roman"/>
          <w:kern w:val="2"/>
          <w:sz w:val="28"/>
          <w:szCs w:val="28"/>
          <w:lang w:val="en-US" w:eastAsia="zh-CN" w:bidi="ar-SA"/>
        </w:rPr>
        <w:t>（三）</w:t>
      </w:r>
      <w:r>
        <w:rPr>
          <w:rFonts w:hint="eastAsia" w:ascii="Calibri" w:hAnsi="Calibri" w:eastAsia="宋体" w:cs="Times New Roman"/>
          <w:sz w:val="28"/>
          <w:szCs w:val="28"/>
        </w:rPr>
        <w:t>如发生</w:t>
      </w:r>
      <w:r>
        <w:rPr>
          <w:rFonts w:hint="eastAsia" w:ascii="Calibri" w:hAnsi="Calibri" w:eastAsia="宋体" w:cs="Times New Roman"/>
          <w:sz w:val="28"/>
          <w:szCs w:val="28"/>
          <w:lang w:eastAsia="zh-CN"/>
        </w:rPr>
        <w:t>上述（包括但不限于）</w:t>
      </w:r>
      <w:r>
        <w:rPr>
          <w:rFonts w:hint="eastAsia" w:ascii="Calibri" w:hAnsi="Calibri" w:eastAsia="宋体" w:cs="Times New Roman"/>
          <w:sz w:val="28"/>
          <w:szCs w:val="28"/>
        </w:rPr>
        <w:t>违法违规</w:t>
      </w:r>
      <w:r>
        <w:rPr>
          <w:rFonts w:hint="eastAsia" w:ascii="Calibri" w:hAnsi="Calibri" w:eastAsia="宋体" w:cs="Times New Roman"/>
          <w:sz w:val="28"/>
          <w:szCs w:val="28"/>
          <w:lang w:eastAsia="zh-CN"/>
        </w:rPr>
        <w:t>或</w:t>
      </w:r>
      <w:r>
        <w:rPr>
          <w:rFonts w:hint="eastAsia" w:ascii="Calibri" w:hAnsi="Calibri" w:eastAsia="宋体" w:cs="Times New Roman"/>
          <w:sz w:val="28"/>
          <w:szCs w:val="28"/>
        </w:rPr>
        <w:t>不良行为，自愿接受有关行政监督部门依法给予的行政处罚（处理），执行诚信不良行为记录联合惩戒措施，触犯法律的，依法承担法律责任。</w:t>
      </w:r>
    </w:p>
    <w:p w14:paraId="7A552FF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Calibri" w:hAnsi="Calibri" w:eastAsia="宋体" w:cs="Times New Roman"/>
          <w:sz w:val="28"/>
          <w:szCs w:val="28"/>
        </w:rPr>
      </w:pPr>
      <w:r>
        <w:rPr>
          <w:rFonts w:hint="eastAsia" w:ascii="Calibri" w:hAnsi="Calibri" w:eastAsia="宋体" w:cs="Times New Roman"/>
          <w:kern w:val="2"/>
          <w:sz w:val="28"/>
          <w:szCs w:val="28"/>
          <w:lang w:val="en-US" w:eastAsia="zh-CN" w:bidi="ar-SA"/>
        </w:rPr>
        <w:t>（四）</w:t>
      </w:r>
      <w:r>
        <w:rPr>
          <w:rFonts w:hint="eastAsia" w:ascii="Calibri" w:hAnsi="Calibri" w:eastAsia="宋体" w:cs="Times New Roman"/>
          <w:sz w:val="28"/>
          <w:szCs w:val="28"/>
        </w:rPr>
        <w:t>本人郑重作出上述承诺。本人和单位员工均已熟悉诚信承诺内容并认真践行承诺。</w:t>
      </w:r>
    </w:p>
    <w:p w14:paraId="75DF0B5D">
      <w:pPr>
        <w:numPr>
          <w:ilvl w:val="0"/>
          <w:numId w:val="0"/>
        </w:numPr>
        <w:rPr>
          <w:rFonts w:hint="eastAsia" w:ascii="Calibri" w:hAnsi="Calibri" w:eastAsia="宋体" w:cs="Times New Roman"/>
          <w:sz w:val="28"/>
          <w:szCs w:val="28"/>
        </w:rPr>
      </w:pPr>
    </w:p>
    <w:p w14:paraId="14A9AFFE">
      <w:pPr>
        <w:numPr>
          <w:ilvl w:val="0"/>
          <w:numId w:val="0"/>
        </w:numPr>
        <w:rPr>
          <w:rFonts w:hint="eastAsia" w:ascii="Calibri" w:hAnsi="Calibri" w:eastAsia="宋体" w:cs="Times New Roman"/>
          <w:sz w:val="28"/>
          <w:szCs w:val="28"/>
        </w:rPr>
      </w:pPr>
      <w:r>
        <w:rPr>
          <w:rFonts w:hint="eastAsia" w:ascii="Calibri" w:hAnsi="Calibri" w:eastAsia="宋体" w:cs="Times New Roman"/>
          <w:sz w:val="28"/>
          <w:szCs w:val="28"/>
        </w:rPr>
        <w:t>法定代表人</w:t>
      </w:r>
      <w:r>
        <w:rPr>
          <w:rFonts w:hint="eastAsia" w:ascii="Calibri" w:hAnsi="Calibri" w:eastAsia="宋体" w:cs="Times New Roman"/>
          <w:sz w:val="28"/>
          <w:szCs w:val="28"/>
          <w:lang w:eastAsia="zh-CN"/>
        </w:rPr>
        <w:t>（</w:t>
      </w:r>
      <w:r>
        <w:rPr>
          <w:rFonts w:hint="eastAsia" w:ascii="Calibri" w:hAnsi="Calibri" w:eastAsia="宋体" w:cs="Times New Roman"/>
          <w:sz w:val="28"/>
          <w:szCs w:val="28"/>
        </w:rPr>
        <w:t>签名</w:t>
      </w:r>
      <w:r>
        <w:rPr>
          <w:rFonts w:hint="eastAsia" w:ascii="Calibri" w:hAnsi="Calibri" w:eastAsia="宋体" w:cs="Times New Roman"/>
          <w:sz w:val="28"/>
          <w:szCs w:val="28"/>
          <w:lang w:eastAsia="zh-CN"/>
        </w:rPr>
        <w:t>或签章）</w:t>
      </w:r>
      <w:r>
        <w:rPr>
          <w:rFonts w:hint="eastAsia" w:ascii="Calibri" w:hAnsi="Calibri" w:eastAsia="宋体" w:cs="Times New Roman"/>
          <w:sz w:val="28"/>
          <w:szCs w:val="28"/>
        </w:rPr>
        <w:t xml:space="preserve">：     </w:t>
      </w:r>
    </w:p>
    <w:p w14:paraId="5653A657">
      <w:pPr>
        <w:numPr>
          <w:ilvl w:val="0"/>
          <w:numId w:val="0"/>
        </w:numPr>
        <w:rPr>
          <w:rFonts w:hint="eastAsia" w:ascii="Calibri" w:hAnsi="Calibri" w:eastAsia="宋体" w:cs="Times New Roman"/>
          <w:sz w:val="28"/>
          <w:szCs w:val="28"/>
        </w:rPr>
      </w:pPr>
      <w:r>
        <w:rPr>
          <w:rFonts w:hint="eastAsia" w:ascii="Calibri" w:hAnsi="Calibri" w:eastAsia="宋体" w:cs="Times New Roman"/>
          <w:sz w:val="28"/>
          <w:szCs w:val="28"/>
        </w:rPr>
        <w:t>单位名称（盖章）：</w:t>
      </w:r>
    </w:p>
    <w:p w14:paraId="2191BBC3">
      <w:pPr>
        <w:numPr>
          <w:ilvl w:val="0"/>
          <w:numId w:val="0"/>
        </w:numPr>
        <w:rPr>
          <w:rFonts w:hint="default" w:ascii="Calibri" w:hAnsi="Calibri" w:eastAsia="宋体" w:cs="Times New Roman"/>
          <w:sz w:val="28"/>
          <w:szCs w:val="28"/>
          <w:lang w:val="en-US" w:eastAsia="zh-CN"/>
        </w:rPr>
      </w:pPr>
      <w:r>
        <w:rPr>
          <w:rFonts w:hint="eastAsia" w:ascii="Calibri" w:hAnsi="Calibri" w:eastAsia="宋体" w:cs="Times New Roman"/>
          <w:sz w:val="28"/>
          <w:szCs w:val="28"/>
        </w:rPr>
        <w:t>年</w:t>
      </w:r>
      <w:r>
        <w:rPr>
          <w:rFonts w:hint="eastAsia" w:ascii="Calibri" w:hAnsi="Calibri" w:eastAsia="宋体" w:cs="Times New Roman"/>
          <w:sz w:val="28"/>
          <w:szCs w:val="28"/>
          <w:lang w:val="en-US" w:eastAsia="zh-CN"/>
        </w:rPr>
        <w:t xml:space="preserve">    月   日</w:t>
      </w:r>
    </w:p>
    <w:p w14:paraId="7EA61237">
      <w:pPr>
        <w:pStyle w:val="35"/>
        <w:rPr>
          <w:rFonts w:ascii="宋体" w:hAnsi="宋体" w:eastAsia="宋体" w:cs="宋体"/>
          <w:color w:val="auto"/>
          <w:highlight w:val="none"/>
        </w:rPr>
      </w:pPr>
    </w:p>
    <w:p w14:paraId="302439E3">
      <w:pPr>
        <w:adjustRightInd w:val="0"/>
        <w:snapToGrid w:val="0"/>
        <w:spacing w:line="360" w:lineRule="auto"/>
        <w:ind w:right="23" w:rightChars="11"/>
        <w:jc w:val="center"/>
        <w:outlineLvl w:val="0"/>
        <w:rPr>
          <w:rFonts w:ascii="宋体" w:hAnsi="宋体" w:cs="宋体"/>
          <w:b/>
          <w:color w:val="auto"/>
          <w:sz w:val="32"/>
          <w:szCs w:val="32"/>
          <w:highlight w:val="none"/>
        </w:rPr>
      </w:pPr>
    </w:p>
    <w:p w14:paraId="6325FDF7">
      <w:pPr>
        <w:pStyle w:val="35"/>
        <w:rPr>
          <w:rFonts w:ascii="宋体" w:hAnsi="宋体" w:eastAsia="宋体" w:cs="宋体"/>
          <w:b/>
          <w:color w:val="auto"/>
          <w:sz w:val="32"/>
          <w:szCs w:val="32"/>
          <w:highlight w:val="none"/>
        </w:rPr>
      </w:pPr>
    </w:p>
    <w:p w14:paraId="60D9030B">
      <w:pPr>
        <w:adjustRightInd w:val="0"/>
        <w:snapToGrid w:val="0"/>
        <w:spacing w:line="360" w:lineRule="auto"/>
        <w:ind w:right="23" w:rightChars="11"/>
        <w:jc w:val="center"/>
        <w:outlineLvl w:val="0"/>
        <w:rPr>
          <w:rFonts w:ascii="宋体" w:hAnsi="宋体" w:cs="宋体"/>
          <w:b/>
          <w:color w:val="auto"/>
          <w:sz w:val="32"/>
          <w:szCs w:val="32"/>
          <w:highlight w:val="none"/>
        </w:rPr>
      </w:pPr>
    </w:p>
    <w:p w14:paraId="246B3840">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34D86491">
      <w:pPr>
        <w:adjustRightInd w:val="0"/>
        <w:snapToGrid w:val="0"/>
        <w:spacing w:line="360" w:lineRule="auto"/>
        <w:ind w:right="23" w:rightChars="11"/>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四、技术/商务响应与偏离表</w:t>
      </w:r>
    </w:p>
    <w:p w14:paraId="085F3D25">
      <w:pPr>
        <w:pStyle w:val="35"/>
        <w:rPr>
          <w:rFonts w:ascii="宋体" w:hAnsi="宋体" w:eastAsia="宋体" w:cs="宋体"/>
          <w:color w:val="auto"/>
          <w:kern w:val="2"/>
          <w:sz w:val="21"/>
          <w:szCs w:val="21"/>
          <w:highlight w:val="none"/>
        </w:rPr>
      </w:pPr>
    </w:p>
    <w:tbl>
      <w:tblPr>
        <w:tblStyle w:val="21"/>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14:paraId="47684C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vAlign w:val="center"/>
          </w:tcPr>
          <w:p w14:paraId="65B0F20D">
            <w:pPr>
              <w:adjustRightInd w:val="0"/>
              <w:snapToGrid w:val="0"/>
              <w:ind w:left="-88" w:leftChars="-42" w:right="23" w:rightChars="11"/>
              <w:jc w:val="center"/>
              <w:rPr>
                <w:rFonts w:ascii="宋体" w:hAnsi="宋体" w:cs="宋体"/>
                <w:bCs/>
                <w:color w:val="auto"/>
                <w:highlight w:val="none"/>
              </w:rPr>
            </w:pPr>
            <w:r>
              <w:rPr>
                <w:rFonts w:hint="eastAsia" w:ascii="宋体" w:hAnsi="宋体" w:cs="宋体"/>
                <w:bCs/>
                <w:color w:val="auto"/>
                <w:highlight w:val="none"/>
              </w:rPr>
              <w:t>序号</w:t>
            </w:r>
          </w:p>
        </w:tc>
        <w:tc>
          <w:tcPr>
            <w:tcW w:w="1685" w:type="dxa"/>
            <w:vAlign w:val="center"/>
          </w:tcPr>
          <w:p w14:paraId="5D250160">
            <w:pPr>
              <w:adjustRightInd w:val="0"/>
              <w:snapToGrid w:val="0"/>
              <w:ind w:left="-88" w:leftChars="-42" w:right="23" w:rightChars="11"/>
              <w:jc w:val="center"/>
              <w:rPr>
                <w:rFonts w:ascii="宋体" w:hAnsi="宋体" w:cs="宋体"/>
                <w:color w:val="auto"/>
                <w:highlight w:val="none"/>
              </w:rPr>
            </w:pPr>
            <w:r>
              <w:rPr>
                <w:rFonts w:hint="eastAsia" w:ascii="宋体" w:hAnsi="宋体" w:cs="宋体"/>
                <w:color w:val="auto"/>
                <w:highlight w:val="none"/>
              </w:rPr>
              <w:t>磋商文件条目号</w:t>
            </w:r>
          </w:p>
        </w:tc>
        <w:tc>
          <w:tcPr>
            <w:tcW w:w="1948" w:type="dxa"/>
            <w:vAlign w:val="center"/>
          </w:tcPr>
          <w:p w14:paraId="70F815BF">
            <w:pPr>
              <w:adjustRightInd w:val="0"/>
              <w:snapToGrid w:val="0"/>
              <w:ind w:left="-88" w:leftChars="-42" w:right="23" w:rightChars="11"/>
              <w:jc w:val="center"/>
              <w:rPr>
                <w:rFonts w:ascii="宋体" w:hAnsi="宋体" w:cs="宋体"/>
                <w:color w:val="auto"/>
                <w:highlight w:val="none"/>
              </w:rPr>
            </w:pPr>
            <w:r>
              <w:rPr>
                <w:rFonts w:hint="eastAsia" w:ascii="宋体" w:hAnsi="宋体" w:cs="宋体"/>
                <w:color w:val="auto"/>
                <w:highlight w:val="none"/>
              </w:rPr>
              <w:t>采购规格/商务条款</w:t>
            </w:r>
          </w:p>
        </w:tc>
        <w:tc>
          <w:tcPr>
            <w:tcW w:w="2600" w:type="dxa"/>
            <w:vAlign w:val="center"/>
          </w:tcPr>
          <w:p w14:paraId="77196F4A">
            <w:pPr>
              <w:adjustRightInd w:val="0"/>
              <w:snapToGrid w:val="0"/>
              <w:ind w:left="-88" w:leftChars="-42" w:right="23" w:rightChars="11"/>
              <w:jc w:val="center"/>
              <w:rPr>
                <w:rFonts w:ascii="宋体" w:hAnsi="宋体" w:cs="宋体"/>
                <w:color w:val="auto"/>
                <w:highlight w:val="none"/>
              </w:rPr>
            </w:pPr>
            <w:r>
              <w:rPr>
                <w:rFonts w:hint="eastAsia" w:ascii="宋体" w:hAnsi="宋体" w:cs="宋体"/>
                <w:color w:val="auto"/>
                <w:highlight w:val="none"/>
              </w:rPr>
              <w:t>响应文件的规格/商务条款</w:t>
            </w:r>
          </w:p>
        </w:tc>
        <w:tc>
          <w:tcPr>
            <w:tcW w:w="1517" w:type="dxa"/>
            <w:vAlign w:val="center"/>
          </w:tcPr>
          <w:p w14:paraId="260C547B">
            <w:pPr>
              <w:adjustRightInd w:val="0"/>
              <w:snapToGrid w:val="0"/>
              <w:ind w:left="-88" w:leftChars="-42" w:right="23" w:rightChars="11"/>
              <w:jc w:val="center"/>
              <w:rPr>
                <w:rFonts w:ascii="宋体" w:hAnsi="宋体" w:cs="宋体"/>
                <w:color w:val="auto"/>
                <w:highlight w:val="none"/>
              </w:rPr>
            </w:pPr>
            <w:r>
              <w:rPr>
                <w:rFonts w:hint="eastAsia" w:ascii="宋体" w:hAnsi="宋体" w:cs="宋体"/>
                <w:color w:val="auto"/>
                <w:highlight w:val="none"/>
              </w:rPr>
              <w:t>响应与偏离</w:t>
            </w:r>
          </w:p>
        </w:tc>
        <w:tc>
          <w:tcPr>
            <w:tcW w:w="1119" w:type="dxa"/>
            <w:vAlign w:val="center"/>
          </w:tcPr>
          <w:p w14:paraId="730FB3E3">
            <w:pPr>
              <w:adjustRightInd w:val="0"/>
              <w:snapToGrid w:val="0"/>
              <w:ind w:left="-88" w:leftChars="-42" w:right="23" w:rightChars="11"/>
              <w:jc w:val="center"/>
              <w:rPr>
                <w:rFonts w:ascii="宋体" w:hAnsi="宋体" w:cs="宋体"/>
                <w:color w:val="auto"/>
                <w:highlight w:val="none"/>
              </w:rPr>
            </w:pPr>
            <w:r>
              <w:rPr>
                <w:rFonts w:hint="eastAsia" w:ascii="宋体" w:hAnsi="宋体" w:cs="宋体"/>
                <w:color w:val="auto"/>
                <w:highlight w:val="none"/>
              </w:rPr>
              <w:t>说明</w:t>
            </w:r>
          </w:p>
        </w:tc>
      </w:tr>
      <w:tr w14:paraId="30410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1745F3F9">
            <w:pPr>
              <w:adjustRightInd w:val="0"/>
              <w:snapToGrid w:val="0"/>
              <w:ind w:left="-88" w:leftChars="-42" w:right="23" w:rightChars="11"/>
              <w:jc w:val="center"/>
              <w:rPr>
                <w:rFonts w:ascii="宋体" w:hAnsi="宋体" w:cs="宋体"/>
                <w:color w:val="auto"/>
                <w:highlight w:val="none"/>
              </w:rPr>
            </w:pPr>
          </w:p>
        </w:tc>
        <w:tc>
          <w:tcPr>
            <w:tcW w:w="1685" w:type="dxa"/>
            <w:vAlign w:val="center"/>
          </w:tcPr>
          <w:p w14:paraId="1CB0BD35">
            <w:pPr>
              <w:adjustRightInd w:val="0"/>
              <w:snapToGrid w:val="0"/>
              <w:ind w:left="-88" w:leftChars="-42" w:right="23" w:rightChars="11"/>
              <w:jc w:val="center"/>
              <w:rPr>
                <w:rFonts w:ascii="宋体" w:hAnsi="宋体" w:cs="宋体"/>
                <w:color w:val="auto"/>
                <w:highlight w:val="none"/>
              </w:rPr>
            </w:pPr>
          </w:p>
        </w:tc>
        <w:tc>
          <w:tcPr>
            <w:tcW w:w="1948" w:type="dxa"/>
            <w:vAlign w:val="center"/>
          </w:tcPr>
          <w:p w14:paraId="13164C77">
            <w:pPr>
              <w:adjustRightInd w:val="0"/>
              <w:snapToGrid w:val="0"/>
              <w:ind w:left="-88" w:leftChars="-42" w:right="23" w:rightChars="11"/>
              <w:jc w:val="center"/>
              <w:rPr>
                <w:rFonts w:ascii="宋体" w:hAnsi="宋体" w:cs="宋体"/>
                <w:color w:val="auto"/>
                <w:highlight w:val="none"/>
              </w:rPr>
            </w:pPr>
          </w:p>
        </w:tc>
        <w:tc>
          <w:tcPr>
            <w:tcW w:w="2600" w:type="dxa"/>
            <w:vAlign w:val="center"/>
          </w:tcPr>
          <w:p w14:paraId="37FDFC86">
            <w:pPr>
              <w:adjustRightInd w:val="0"/>
              <w:snapToGrid w:val="0"/>
              <w:ind w:left="-88" w:leftChars="-42" w:right="23" w:rightChars="11"/>
              <w:jc w:val="center"/>
              <w:rPr>
                <w:rFonts w:ascii="宋体" w:hAnsi="宋体" w:cs="宋体"/>
                <w:color w:val="auto"/>
                <w:highlight w:val="none"/>
              </w:rPr>
            </w:pPr>
          </w:p>
        </w:tc>
        <w:tc>
          <w:tcPr>
            <w:tcW w:w="1517" w:type="dxa"/>
            <w:vAlign w:val="center"/>
          </w:tcPr>
          <w:p w14:paraId="0928E3CD">
            <w:pPr>
              <w:adjustRightInd w:val="0"/>
              <w:snapToGrid w:val="0"/>
              <w:ind w:left="-88" w:leftChars="-42" w:right="23" w:rightChars="11"/>
              <w:jc w:val="center"/>
              <w:rPr>
                <w:rFonts w:ascii="宋体" w:hAnsi="宋体" w:cs="宋体"/>
                <w:color w:val="auto"/>
                <w:highlight w:val="none"/>
              </w:rPr>
            </w:pPr>
          </w:p>
        </w:tc>
        <w:tc>
          <w:tcPr>
            <w:tcW w:w="1119" w:type="dxa"/>
            <w:vAlign w:val="center"/>
          </w:tcPr>
          <w:p w14:paraId="0A6BCBDC">
            <w:pPr>
              <w:adjustRightInd w:val="0"/>
              <w:snapToGrid w:val="0"/>
              <w:ind w:left="-88" w:leftChars="-42" w:right="23" w:rightChars="11"/>
              <w:jc w:val="center"/>
              <w:rPr>
                <w:rFonts w:ascii="宋体" w:hAnsi="宋体" w:cs="宋体"/>
                <w:color w:val="auto"/>
                <w:highlight w:val="none"/>
              </w:rPr>
            </w:pPr>
          </w:p>
        </w:tc>
      </w:tr>
      <w:tr w14:paraId="0D1478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582CFAA3">
            <w:pPr>
              <w:adjustRightInd w:val="0"/>
              <w:snapToGrid w:val="0"/>
              <w:ind w:left="-88" w:leftChars="-42" w:right="23" w:rightChars="11"/>
              <w:jc w:val="center"/>
              <w:rPr>
                <w:rFonts w:ascii="宋体" w:hAnsi="宋体" w:cs="宋体"/>
                <w:color w:val="auto"/>
                <w:highlight w:val="none"/>
              </w:rPr>
            </w:pPr>
          </w:p>
        </w:tc>
        <w:tc>
          <w:tcPr>
            <w:tcW w:w="1685" w:type="dxa"/>
            <w:vAlign w:val="center"/>
          </w:tcPr>
          <w:p w14:paraId="3C73C112">
            <w:pPr>
              <w:adjustRightInd w:val="0"/>
              <w:snapToGrid w:val="0"/>
              <w:ind w:left="-88" w:leftChars="-42" w:right="23" w:rightChars="11"/>
              <w:jc w:val="center"/>
              <w:rPr>
                <w:rFonts w:ascii="宋体" w:hAnsi="宋体" w:cs="宋体"/>
                <w:color w:val="auto"/>
                <w:highlight w:val="none"/>
              </w:rPr>
            </w:pPr>
          </w:p>
        </w:tc>
        <w:tc>
          <w:tcPr>
            <w:tcW w:w="1948" w:type="dxa"/>
            <w:vAlign w:val="center"/>
          </w:tcPr>
          <w:p w14:paraId="3456A668">
            <w:pPr>
              <w:adjustRightInd w:val="0"/>
              <w:snapToGrid w:val="0"/>
              <w:ind w:left="-88" w:leftChars="-42" w:right="23" w:rightChars="11"/>
              <w:jc w:val="center"/>
              <w:rPr>
                <w:rFonts w:ascii="宋体" w:hAnsi="宋体" w:cs="宋体"/>
                <w:color w:val="auto"/>
                <w:highlight w:val="none"/>
              </w:rPr>
            </w:pPr>
          </w:p>
        </w:tc>
        <w:tc>
          <w:tcPr>
            <w:tcW w:w="2600" w:type="dxa"/>
            <w:vAlign w:val="center"/>
          </w:tcPr>
          <w:p w14:paraId="62563201">
            <w:pPr>
              <w:adjustRightInd w:val="0"/>
              <w:snapToGrid w:val="0"/>
              <w:ind w:left="-88" w:leftChars="-42" w:right="23" w:rightChars="11"/>
              <w:jc w:val="center"/>
              <w:rPr>
                <w:rFonts w:ascii="宋体" w:hAnsi="宋体" w:cs="宋体"/>
                <w:color w:val="auto"/>
                <w:highlight w:val="none"/>
              </w:rPr>
            </w:pPr>
          </w:p>
        </w:tc>
        <w:tc>
          <w:tcPr>
            <w:tcW w:w="1517" w:type="dxa"/>
            <w:vAlign w:val="center"/>
          </w:tcPr>
          <w:p w14:paraId="39FF151E">
            <w:pPr>
              <w:adjustRightInd w:val="0"/>
              <w:snapToGrid w:val="0"/>
              <w:ind w:left="-88" w:leftChars="-42" w:right="23" w:rightChars="11"/>
              <w:jc w:val="center"/>
              <w:rPr>
                <w:rFonts w:ascii="宋体" w:hAnsi="宋体" w:cs="宋体"/>
                <w:color w:val="auto"/>
                <w:highlight w:val="none"/>
              </w:rPr>
            </w:pPr>
          </w:p>
        </w:tc>
        <w:tc>
          <w:tcPr>
            <w:tcW w:w="1119" w:type="dxa"/>
            <w:vAlign w:val="center"/>
          </w:tcPr>
          <w:p w14:paraId="7FAB49BE">
            <w:pPr>
              <w:adjustRightInd w:val="0"/>
              <w:snapToGrid w:val="0"/>
              <w:ind w:left="-88" w:leftChars="-42" w:right="23" w:rightChars="11"/>
              <w:jc w:val="center"/>
              <w:rPr>
                <w:rFonts w:ascii="宋体" w:hAnsi="宋体" w:cs="宋体"/>
                <w:color w:val="auto"/>
                <w:highlight w:val="none"/>
              </w:rPr>
            </w:pPr>
          </w:p>
        </w:tc>
      </w:tr>
      <w:tr w14:paraId="2D2117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602BAB19">
            <w:pPr>
              <w:adjustRightInd w:val="0"/>
              <w:snapToGrid w:val="0"/>
              <w:ind w:left="-88" w:leftChars="-42" w:right="23" w:rightChars="11"/>
              <w:jc w:val="center"/>
              <w:rPr>
                <w:rFonts w:ascii="宋体" w:hAnsi="宋体" w:cs="宋体"/>
                <w:color w:val="auto"/>
                <w:highlight w:val="none"/>
              </w:rPr>
            </w:pPr>
          </w:p>
        </w:tc>
        <w:tc>
          <w:tcPr>
            <w:tcW w:w="1685" w:type="dxa"/>
            <w:vAlign w:val="center"/>
          </w:tcPr>
          <w:p w14:paraId="23FF7643">
            <w:pPr>
              <w:adjustRightInd w:val="0"/>
              <w:snapToGrid w:val="0"/>
              <w:ind w:left="-88" w:leftChars="-42" w:right="23" w:rightChars="11"/>
              <w:jc w:val="center"/>
              <w:rPr>
                <w:rFonts w:ascii="宋体" w:hAnsi="宋体" w:cs="宋体"/>
                <w:color w:val="auto"/>
                <w:highlight w:val="none"/>
              </w:rPr>
            </w:pPr>
          </w:p>
        </w:tc>
        <w:tc>
          <w:tcPr>
            <w:tcW w:w="1948" w:type="dxa"/>
            <w:vAlign w:val="center"/>
          </w:tcPr>
          <w:p w14:paraId="1F7EC25B">
            <w:pPr>
              <w:adjustRightInd w:val="0"/>
              <w:snapToGrid w:val="0"/>
              <w:ind w:left="-88" w:leftChars="-42" w:right="23" w:rightChars="11"/>
              <w:jc w:val="center"/>
              <w:rPr>
                <w:rFonts w:ascii="宋体" w:hAnsi="宋体" w:cs="宋体"/>
                <w:color w:val="auto"/>
                <w:highlight w:val="none"/>
              </w:rPr>
            </w:pPr>
          </w:p>
        </w:tc>
        <w:tc>
          <w:tcPr>
            <w:tcW w:w="2600" w:type="dxa"/>
            <w:vAlign w:val="center"/>
          </w:tcPr>
          <w:p w14:paraId="60CD02C0">
            <w:pPr>
              <w:adjustRightInd w:val="0"/>
              <w:snapToGrid w:val="0"/>
              <w:ind w:left="-88" w:leftChars="-42" w:right="23" w:rightChars="11"/>
              <w:jc w:val="center"/>
              <w:rPr>
                <w:rFonts w:ascii="宋体" w:hAnsi="宋体" w:cs="宋体"/>
                <w:color w:val="auto"/>
                <w:highlight w:val="none"/>
              </w:rPr>
            </w:pPr>
          </w:p>
        </w:tc>
        <w:tc>
          <w:tcPr>
            <w:tcW w:w="1517" w:type="dxa"/>
            <w:vAlign w:val="center"/>
          </w:tcPr>
          <w:p w14:paraId="4AB61910">
            <w:pPr>
              <w:adjustRightInd w:val="0"/>
              <w:snapToGrid w:val="0"/>
              <w:ind w:left="-88" w:leftChars="-42" w:right="23" w:rightChars="11"/>
              <w:jc w:val="center"/>
              <w:rPr>
                <w:rFonts w:ascii="宋体" w:hAnsi="宋体" w:cs="宋体"/>
                <w:color w:val="auto"/>
                <w:highlight w:val="none"/>
              </w:rPr>
            </w:pPr>
          </w:p>
        </w:tc>
        <w:tc>
          <w:tcPr>
            <w:tcW w:w="1119" w:type="dxa"/>
            <w:vAlign w:val="center"/>
          </w:tcPr>
          <w:p w14:paraId="64652F7B">
            <w:pPr>
              <w:adjustRightInd w:val="0"/>
              <w:snapToGrid w:val="0"/>
              <w:ind w:left="-88" w:leftChars="-42" w:right="23" w:rightChars="11"/>
              <w:jc w:val="center"/>
              <w:rPr>
                <w:rFonts w:ascii="宋体" w:hAnsi="宋体" w:cs="宋体"/>
                <w:color w:val="auto"/>
                <w:highlight w:val="none"/>
              </w:rPr>
            </w:pPr>
          </w:p>
        </w:tc>
      </w:tr>
      <w:tr w14:paraId="4D19D4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1A607474">
            <w:pPr>
              <w:adjustRightInd w:val="0"/>
              <w:snapToGrid w:val="0"/>
              <w:ind w:left="-88" w:leftChars="-42" w:right="23" w:rightChars="11"/>
              <w:jc w:val="center"/>
              <w:rPr>
                <w:rFonts w:ascii="宋体" w:hAnsi="宋体" w:cs="宋体"/>
                <w:color w:val="auto"/>
                <w:highlight w:val="none"/>
              </w:rPr>
            </w:pPr>
          </w:p>
        </w:tc>
        <w:tc>
          <w:tcPr>
            <w:tcW w:w="1685" w:type="dxa"/>
            <w:vAlign w:val="center"/>
          </w:tcPr>
          <w:p w14:paraId="04283F00">
            <w:pPr>
              <w:adjustRightInd w:val="0"/>
              <w:snapToGrid w:val="0"/>
              <w:ind w:left="-88" w:leftChars="-42" w:right="23" w:rightChars="11"/>
              <w:jc w:val="center"/>
              <w:rPr>
                <w:rFonts w:ascii="宋体" w:hAnsi="宋体" w:cs="宋体"/>
                <w:color w:val="auto"/>
                <w:highlight w:val="none"/>
              </w:rPr>
            </w:pPr>
          </w:p>
        </w:tc>
        <w:tc>
          <w:tcPr>
            <w:tcW w:w="1948" w:type="dxa"/>
            <w:vAlign w:val="center"/>
          </w:tcPr>
          <w:p w14:paraId="58473710">
            <w:pPr>
              <w:adjustRightInd w:val="0"/>
              <w:snapToGrid w:val="0"/>
              <w:ind w:left="-88" w:leftChars="-42" w:right="23" w:rightChars="11"/>
              <w:jc w:val="center"/>
              <w:rPr>
                <w:rFonts w:ascii="宋体" w:hAnsi="宋体" w:cs="宋体"/>
                <w:color w:val="auto"/>
                <w:highlight w:val="none"/>
              </w:rPr>
            </w:pPr>
          </w:p>
        </w:tc>
        <w:tc>
          <w:tcPr>
            <w:tcW w:w="2600" w:type="dxa"/>
            <w:vAlign w:val="center"/>
          </w:tcPr>
          <w:p w14:paraId="33224B3C">
            <w:pPr>
              <w:adjustRightInd w:val="0"/>
              <w:snapToGrid w:val="0"/>
              <w:ind w:left="-88" w:leftChars="-42" w:right="23" w:rightChars="11"/>
              <w:jc w:val="center"/>
              <w:rPr>
                <w:rFonts w:ascii="宋体" w:hAnsi="宋体" w:cs="宋体"/>
                <w:color w:val="auto"/>
                <w:highlight w:val="none"/>
              </w:rPr>
            </w:pPr>
          </w:p>
        </w:tc>
        <w:tc>
          <w:tcPr>
            <w:tcW w:w="1517" w:type="dxa"/>
            <w:vAlign w:val="center"/>
          </w:tcPr>
          <w:p w14:paraId="5EA42C6F">
            <w:pPr>
              <w:adjustRightInd w:val="0"/>
              <w:snapToGrid w:val="0"/>
              <w:ind w:left="-88" w:leftChars="-42" w:right="23" w:rightChars="11"/>
              <w:jc w:val="center"/>
              <w:rPr>
                <w:rFonts w:ascii="宋体" w:hAnsi="宋体" w:cs="宋体"/>
                <w:color w:val="auto"/>
                <w:highlight w:val="none"/>
              </w:rPr>
            </w:pPr>
          </w:p>
        </w:tc>
        <w:tc>
          <w:tcPr>
            <w:tcW w:w="1119" w:type="dxa"/>
            <w:vAlign w:val="center"/>
          </w:tcPr>
          <w:p w14:paraId="19A7338F">
            <w:pPr>
              <w:adjustRightInd w:val="0"/>
              <w:snapToGrid w:val="0"/>
              <w:ind w:left="-88" w:leftChars="-42" w:right="23" w:rightChars="11"/>
              <w:jc w:val="center"/>
              <w:rPr>
                <w:rFonts w:ascii="宋体" w:hAnsi="宋体" w:cs="宋体"/>
                <w:color w:val="auto"/>
                <w:highlight w:val="none"/>
              </w:rPr>
            </w:pPr>
          </w:p>
        </w:tc>
      </w:tr>
      <w:tr w14:paraId="25896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5E408F28">
            <w:pPr>
              <w:adjustRightInd w:val="0"/>
              <w:snapToGrid w:val="0"/>
              <w:ind w:left="-88" w:leftChars="-42" w:right="23" w:rightChars="11"/>
              <w:jc w:val="center"/>
              <w:rPr>
                <w:rFonts w:ascii="宋体" w:hAnsi="宋体" w:cs="宋体"/>
                <w:color w:val="auto"/>
                <w:highlight w:val="none"/>
              </w:rPr>
            </w:pPr>
          </w:p>
        </w:tc>
        <w:tc>
          <w:tcPr>
            <w:tcW w:w="1685" w:type="dxa"/>
            <w:vAlign w:val="center"/>
          </w:tcPr>
          <w:p w14:paraId="3991CF61">
            <w:pPr>
              <w:adjustRightInd w:val="0"/>
              <w:snapToGrid w:val="0"/>
              <w:ind w:left="-88" w:leftChars="-42" w:right="23" w:rightChars="11"/>
              <w:jc w:val="center"/>
              <w:rPr>
                <w:rFonts w:ascii="宋体" w:hAnsi="宋体" w:cs="宋体"/>
                <w:color w:val="auto"/>
                <w:highlight w:val="none"/>
              </w:rPr>
            </w:pPr>
          </w:p>
        </w:tc>
        <w:tc>
          <w:tcPr>
            <w:tcW w:w="1948" w:type="dxa"/>
            <w:vAlign w:val="center"/>
          </w:tcPr>
          <w:p w14:paraId="47098823">
            <w:pPr>
              <w:adjustRightInd w:val="0"/>
              <w:snapToGrid w:val="0"/>
              <w:ind w:left="-88" w:leftChars="-42" w:right="23" w:rightChars="11"/>
              <w:jc w:val="center"/>
              <w:rPr>
                <w:rFonts w:ascii="宋体" w:hAnsi="宋体" w:cs="宋体"/>
                <w:color w:val="auto"/>
                <w:highlight w:val="none"/>
              </w:rPr>
            </w:pPr>
          </w:p>
        </w:tc>
        <w:tc>
          <w:tcPr>
            <w:tcW w:w="2600" w:type="dxa"/>
            <w:vAlign w:val="center"/>
          </w:tcPr>
          <w:p w14:paraId="16037684">
            <w:pPr>
              <w:adjustRightInd w:val="0"/>
              <w:snapToGrid w:val="0"/>
              <w:ind w:left="-88" w:leftChars="-42" w:right="23" w:rightChars="11"/>
              <w:jc w:val="center"/>
              <w:rPr>
                <w:rFonts w:ascii="宋体" w:hAnsi="宋体" w:cs="宋体"/>
                <w:color w:val="auto"/>
                <w:highlight w:val="none"/>
              </w:rPr>
            </w:pPr>
          </w:p>
        </w:tc>
        <w:tc>
          <w:tcPr>
            <w:tcW w:w="1517" w:type="dxa"/>
            <w:vAlign w:val="center"/>
          </w:tcPr>
          <w:p w14:paraId="1D47CE02">
            <w:pPr>
              <w:adjustRightInd w:val="0"/>
              <w:snapToGrid w:val="0"/>
              <w:ind w:left="-88" w:leftChars="-42" w:right="23" w:rightChars="11"/>
              <w:jc w:val="center"/>
              <w:rPr>
                <w:rFonts w:ascii="宋体" w:hAnsi="宋体" w:cs="宋体"/>
                <w:color w:val="auto"/>
                <w:highlight w:val="none"/>
              </w:rPr>
            </w:pPr>
          </w:p>
        </w:tc>
        <w:tc>
          <w:tcPr>
            <w:tcW w:w="1119" w:type="dxa"/>
            <w:vAlign w:val="center"/>
          </w:tcPr>
          <w:p w14:paraId="2BAFF2FE">
            <w:pPr>
              <w:adjustRightInd w:val="0"/>
              <w:snapToGrid w:val="0"/>
              <w:ind w:left="-88" w:leftChars="-42" w:right="23" w:rightChars="11"/>
              <w:jc w:val="center"/>
              <w:rPr>
                <w:rFonts w:ascii="宋体" w:hAnsi="宋体" w:cs="宋体"/>
                <w:color w:val="auto"/>
                <w:highlight w:val="none"/>
              </w:rPr>
            </w:pPr>
          </w:p>
        </w:tc>
      </w:tr>
    </w:tbl>
    <w:p w14:paraId="0D31057E">
      <w:pPr>
        <w:adjustRightInd w:val="0"/>
        <w:snapToGrid w:val="0"/>
        <w:spacing w:line="360" w:lineRule="auto"/>
        <w:ind w:left="-88" w:leftChars="-42" w:right="23" w:rightChars="11"/>
        <w:rPr>
          <w:rFonts w:ascii="宋体" w:hAnsi="宋体" w:cs="宋体"/>
          <w:color w:val="auto"/>
          <w:highlight w:val="none"/>
        </w:rPr>
      </w:pPr>
      <w:r>
        <w:rPr>
          <w:rFonts w:hint="eastAsia" w:ascii="宋体" w:hAnsi="宋体" w:cs="宋体"/>
          <w:color w:val="auto"/>
          <w:highlight w:val="none"/>
        </w:rPr>
        <w:t>说明：1、“响应与偏离”应注明“响应”或“偏离”。</w:t>
      </w:r>
    </w:p>
    <w:p w14:paraId="128CA429">
      <w:pPr>
        <w:adjustRightInd w:val="0"/>
        <w:snapToGrid w:val="0"/>
        <w:spacing w:line="360" w:lineRule="auto"/>
        <w:ind w:right="23" w:rightChars="11"/>
        <w:rPr>
          <w:rFonts w:ascii="宋体" w:hAnsi="宋体" w:cs="宋体"/>
          <w:color w:val="auto"/>
          <w:highlight w:val="none"/>
        </w:rPr>
      </w:pPr>
      <w:r>
        <w:rPr>
          <w:rFonts w:hint="eastAsia" w:ascii="宋体" w:hAnsi="宋体" w:cs="宋体"/>
          <w:color w:val="auto"/>
          <w:highlight w:val="none"/>
        </w:rPr>
        <w:t>2、属磋商文件规定可能变动的内容在“说明”栏中注明。</w:t>
      </w:r>
    </w:p>
    <w:p w14:paraId="2DD491AA">
      <w:pPr>
        <w:pStyle w:val="12"/>
        <w:adjustRightInd w:val="0"/>
        <w:snapToGrid w:val="0"/>
        <w:spacing w:line="360" w:lineRule="auto"/>
        <w:ind w:right="23" w:rightChars="11"/>
        <w:outlineLvl w:val="0"/>
        <w:rPr>
          <w:rFonts w:ascii="宋体" w:hAnsi="宋体" w:cs="宋体"/>
          <w:color w:val="auto"/>
          <w:sz w:val="21"/>
          <w:szCs w:val="21"/>
          <w:highlight w:val="none"/>
        </w:rPr>
      </w:pPr>
    </w:p>
    <w:p w14:paraId="572ADDC2">
      <w:pPr>
        <w:pStyle w:val="12"/>
        <w:adjustRightInd w:val="0"/>
        <w:snapToGrid w:val="0"/>
        <w:spacing w:line="360" w:lineRule="auto"/>
        <w:ind w:right="23" w:rightChars="11"/>
        <w:outlineLvl w:val="0"/>
        <w:rPr>
          <w:rFonts w:ascii="宋体" w:hAnsi="宋体" w:cs="宋体"/>
          <w:bCs/>
          <w:color w:val="auto"/>
          <w:sz w:val="21"/>
          <w:szCs w:val="21"/>
          <w:highlight w:val="none"/>
        </w:rPr>
      </w:pPr>
      <w:r>
        <w:rPr>
          <w:rFonts w:hint="eastAsia" w:ascii="宋体" w:hAnsi="宋体" w:cs="宋体"/>
          <w:color w:val="auto"/>
          <w:sz w:val="21"/>
          <w:szCs w:val="21"/>
          <w:highlight w:val="none"/>
        </w:rPr>
        <w:t>供应商名称：</w:t>
      </w:r>
    </w:p>
    <w:p w14:paraId="58F6D8B4">
      <w:pPr>
        <w:adjustRightInd w:val="0"/>
        <w:snapToGrid w:val="0"/>
        <w:spacing w:line="360" w:lineRule="auto"/>
        <w:ind w:right="23" w:rightChars="11"/>
        <w:outlineLvl w:val="0"/>
        <w:rPr>
          <w:rFonts w:ascii="宋体" w:hAnsi="宋体" w:cs="宋体"/>
          <w:color w:val="auto"/>
          <w:highlight w:val="none"/>
        </w:rPr>
      </w:pPr>
      <w:r>
        <w:rPr>
          <w:rFonts w:hint="eastAsia" w:ascii="宋体" w:hAnsi="宋体" w:cs="宋体"/>
          <w:color w:val="auto"/>
          <w:highlight w:val="none"/>
        </w:rPr>
        <w:t>法定代表人或其委托代理人(签字)：</w:t>
      </w:r>
    </w:p>
    <w:p w14:paraId="2DBA9902">
      <w:pPr>
        <w:adjustRightInd w:val="0"/>
        <w:snapToGrid w:val="0"/>
        <w:spacing w:line="360" w:lineRule="auto"/>
        <w:ind w:right="23" w:rightChars="11"/>
        <w:outlineLvl w:val="0"/>
        <w:rPr>
          <w:rFonts w:ascii="宋体" w:hAnsi="宋体" w:cs="宋体"/>
          <w:color w:val="auto"/>
          <w:highlight w:val="none"/>
        </w:rPr>
      </w:pPr>
      <w:r>
        <w:rPr>
          <w:rFonts w:hint="eastAsia" w:ascii="宋体" w:hAnsi="宋体" w:cs="宋体"/>
          <w:color w:val="auto"/>
          <w:highlight w:val="none"/>
        </w:rPr>
        <w:t>日          期：  年  月  日</w:t>
      </w:r>
    </w:p>
    <w:p w14:paraId="23747450">
      <w:pPr>
        <w:adjustRightInd w:val="0"/>
        <w:snapToGrid w:val="0"/>
        <w:spacing w:line="360" w:lineRule="auto"/>
        <w:ind w:right="23" w:rightChars="11"/>
        <w:rPr>
          <w:rFonts w:ascii="宋体" w:hAnsi="宋体" w:cs="宋体"/>
          <w:color w:val="auto"/>
          <w:highlight w:val="none"/>
        </w:rPr>
      </w:pPr>
    </w:p>
    <w:p w14:paraId="34EFC590">
      <w:pPr>
        <w:tabs>
          <w:tab w:val="left" w:pos="3600"/>
        </w:tabs>
        <w:adjustRightInd w:val="0"/>
        <w:snapToGrid w:val="0"/>
        <w:ind w:right="23" w:rightChars="11"/>
        <w:jc w:val="center"/>
        <w:rPr>
          <w:rFonts w:ascii="宋体" w:hAnsi="宋体" w:cs="宋体"/>
          <w:color w:val="auto"/>
          <w:highlight w:val="none"/>
        </w:rPr>
      </w:pPr>
    </w:p>
    <w:p w14:paraId="3A2A0054">
      <w:pPr>
        <w:tabs>
          <w:tab w:val="left" w:pos="3600"/>
        </w:tabs>
        <w:adjustRightInd w:val="0"/>
        <w:snapToGrid w:val="0"/>
        <w:ind w:right="23" w:rightChars="11"/>
        <w:jc w:val="center"/>
        <w:rPr>
          <w:rFonts w:ascii="宋体" w:hAnsi="宋体" w:cs="宋体"/>
          <w:color w:val="auto"/>
          <w:highlight w:val="none"/>
        </w:rPr>
      </w:pPr>
    </w:p>
    <w:p w14:paraId="2453D86B">
      <w:pPr>
        <w:pStyle w:val="36"/>
        <w:rPr>
          <w:rFonts w:ascii="宋体" w:hAnsi="宋体" w:cs="宋体"/>
          <w:color w:val="auto"/>
          <w:highlight w:val="none"/>
        </w:rPr>
      </w:pPr>
    </w:p>
    <w:p w14:paraId="734BFB6D">
      <w:pPr>
        <w:pStyle w:val="4"/>
        <w:rPr>
          <w:rFonts w:ascii="宋体" w:hAnsi="宋体" w:cs="宋体"/>
          <w:color w:val="auto"/>
          <w:highlight w:val="none"/>
        </w:rPr>
      </w:pPr>
    </w:p>
    <w:p w14:paraId="11E5C6AB">
      <w:pPr>
        <w:rPr>
          <w:color w:val="auto"/>
          <w:highlight w:val="none"/>
        </w:rPr>
      </w:pPr>
    </w:p>
    <w:p w14:paraId="22DB01EB">
      <w:pPr>
        <w:pStyle w:val="35"/>
        <w:rPr>
          <w:rFonts w:ascii="宋体" w:hAnsi="宋体" w:eastAsia="宋体" w:cs="宋体"/>
          <w:b/>
          <w:color w:val="auto"/>
          <w:sz w:val="32"/>
          <w:szCs w:val="32"/>
          <w:highlight w:val="none"/>
        </w:rPr>
      </w:pPr>
    </w:p>
    <w:p w14:paraId="720A6940">
      <w:pPr>
        <w:tabs>
          <w:tab w:val="left" w:pos="3600"/>
        </w:tabs>
        <w:adjustRightInd w:val="0"/>
        <w:snapToGrid w:val="0"/>
        <w:ind w:right="23" w:rightChars="11"/>
        <w:rPr>
          <w:rFonts w:ascii="宋体" w:hAnsi="宋体" w:cs="宋体"/>
          <w:b/>
          <w:color w:val="auto"/>
          <w:sz w:val="32"/>
          <w:szCs w:val="32"/>
          <w:highlight w:val="none"/>
        </w:rPr>
      </w:pPr>
    </w:p>
    <w:p w14:paraId="5CE03AF5">
      <w:pPr>
        <w:pStyle w:val="35"/>
        <w:rPr>
          <w:rFonts w:ascii="宋体" w:hAnsi="宋体" w:eastAsia="宋体" w:cs="宋体"/>
          <w:color w:val="auto"/>
          <w:highlight w:val="none"/>
        </w:rPr>
      </w:pPr>
    </w:p>
    <w:p w14:paraId="275D5A9C">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30D9AF45">
      <w:pPr>
        <w:adjustRightInd w:val="0"/>
        <w:snapToGrid w:val="0"/>
        <w:spacing w:line="360" w:lineRule="auto"/>
        <w:ind w:right="23" w:rightChars="11"/>
        <w:jc w:val="center"/>
        <w:rPr>
          <w:rFonts w:ascii="宋体" w:hAnsi="宋体" w:cs="宋体"/>
          <w:b/>
          <w:color w:val="auto"/>
          <w:sz w:val="32"/>
          <w:szCs w:val="32"/>
          <w:highlight w:val="none"/>
        </w:rPr>
      </w:pPr>
      <w:r>
        <w:rPr>
          <w:rFonts w:hint="eastAsia" w:ascii="宋体" w:hAnsi="宋体" w:cs="宋体"/>
          <w:b/>
          <w:bCs/>
          <w:color w:val="auto"/>
          <w:sz w:val="32"/>
          <w:szCs w:val="32"/>
          <w:highlight w:val="none"/>
        </w:rPr>
        <w:t>五、</w:t>
      </w:r>
      <w:r>
        <w:rPr>
          <w:rFonts w:hint="eastAsia" w:ascii="宋体" w:hAnsi="宋体" w:cs="宋体"/>
          <w:b/>
          <w:color w:val="auto"/>
          <w:sz w:val="32"/>
          <w:szCs w:val="32"/>
          <w:highlight w:val="none"/>
        </w:rPr>
        <w:t>报价一览表及报价文件</w:t>
      </w:r>
    </w:p>
    <w:p w14:paraId="5D64FD0B">
      <w:pPr>
        <w:adjustRightInd w:val="0"/>
        <w:snapToGrid w:val="0"/>
        <w:ind w:right="23" w:rightChars="11"/>
        <w:rPr>
          <w:rFonts w:ascii="宋体" w:hAnsi="宋体" w:cs="宋体"/>
          <w:bCs/>
          <w:color w:val="auto"/>
          <w:sz w:val="28"/>
          <w:szCs w:val="28"/>
          <w:highlight w:val="none"/>
        </w:rPr>
      </w:pPr>
      <w:r>
        <w:rPr>
          <w:rFonts w:hint="eastAsia" w:ascii="宋体" w:hAnsi="宋体" w:cs="宋体"/>
          <w:b/>
          <w:color w:val="auto"/>
          <w:sz w:val="24"/>
          <w:highlight w:val="none"/>
        </w:rPr>
        <w:t xml:space="preserve">附件5：                       </w:t>
      </w:r>
      <w:r>
        <w:rPr>
          <w:rFonts w:hint="eastAsia" w:ascii="宋体" w:hAnsi="宋体" w:cs="宋体"/>
          <w:bCs/>
          <w:color w:val="auto"/>
          <w:sz w:val="28"/>
          <w:szCs w:val="28"/>
          <w:highlight w:val="none"/>
        </w:rPr>
        <w:t>报价一览表</w:t>
      </w:r>
    </w:p>
    <w:p w14:paraId="1B725AA8">
      <w:pPr>
        <w:pStyle w:val="35"/>
        <w:rPr>
          <w:color w:val="auto"/>
          <w:highlight w:val="none"/>
        </w:rPr>
      </w:pPr>
    </w:p>
    <w:p w14:paraId="5DE4B7E1">
      <w:pPr>
        <w:adjustRightInd w:val="0"/>
        <w:snapToGrid w:val="0"/>
        <w:ind w:left="-88" w:leftChars="-42"/>
        <w:jc w:val="center"/>
        <w:rPr>
          <w:rFonts w:ascii="仿宋_GB2312" w:hAnsi="宋体" w:eastAsia="仿宋_GB2312" w:cs="Times New Roman"/>
          <w:color w:val="auto"/>
          <w:sz w:val="24"/>
          <w:szCs w:val="22"/>
          <w:highlight w:val="none"/>
        </w:rPr>
      </w:pPr>
    </w:p>
    <w:p w14:paraId="3FA339D8">
      <w:pPr>
        <w:adjustRightInd w:val="0"/>
        <w:snapToGrid w:val="0"/>
        <w:ind w:left="-88" w:leftChars="-42"/>
        <w:rPr>
          <w:rFonts w:ascii="仿宋_GB2312" w:hAnsi="宋体" w:eastAsia="仿宋_GB2312" w:cs="Times New Roman"/>
          <w:color w:val="auto"/>
          <w:highlight w:val="none"/>
        </w:rPr>
      </w:pPr>
      <w:r>
        <w:rPr>
          <w:rFonts w:hint="eastAsia" w:ascii="仿宋_GB2312" w:hAnsi="宋体" w:eastAsia="仿宋_GB2312" w:cs="Times New Roman"/>
          <w:color w:val="auto"/>
          <w:sz w:val="24"/>
          <w:highlight w:val="none"/>
        </w:rPr>
        <w:t xml:space="preserve">                                                            </w:t>
      </w:r>
    </w:p>
    <w:tbl>
      <w:tblPr>
        <w:tblStyle w:val="21"/>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401"/>
        <w:gridCol w:w="3926"/>
        <w:gridCol w:w="2753"/>
      </w:tblGrid>
      <w:tr w14:paraId="71F2D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709" w:type="dxa"/>
            <w:tcBorders>
              <w:top w:val="double" w:color="auto" w:sz="4" w:space="0"/>
              <w:left w:val="double" w:color="auto" w:sz="4" w:space="0"/>
              <w:right w:val="single" w:color="auto" w:sz="6" w:space="0"/>
            </w:tcBorders>
            <w:vAlign w:val="center"/>
          </w:tcPr>
          <w:p w14:paraId="6EE4F717">
            <w:pPr>
              <w:widowControl/>
              <w:contextualSpacing/>
              <w:jc w:val="center"/>
              <w:rPr>
                <w:rFonts w:ascii="宋体" w:hAnsi="宋体" w:cs="宋体"/>
                <w:color w:val="auto"/>
                <w:highlight w:val="none"/>
              </w:rPr>
            </w:pPr>
            <w:r>
              <w:rPr>
                <w:rFonts w:hint="eastAsia" w:ascii="宋体" w:hAnsi="宋体" w:cs="宋体"/>
                <w:color w:val="auto"/>
                <w:highlight w:val="none"/>
              </w:rPr>
              <w:t>序号</w:t>
            </w:r>
          </w:p>
        </w:tc>
        <w:tc>
          <w:tcPr>
            <w:tcW w:w="1401" w:type="dxa"/>
            <w:tcBorders>
              <w:top w:val="double" w:color="auto" w:sz="4" w:space="0"/>
              <w:left w:val="single" w:color="auto" w:sz="6" w:space="0"/>
              <w:right w:val="single" w:color="auto" w:sz="6" w:space="0"/>
            </w:tcBorders>
            <w:vAlign w:val="center"/>
          </w:tcPr>
          <w:p w14:paraId="7AFC31FB">
            <w:pPr>
              <w:contextualSpacing/>
              <w:jc w:val="center"/>
              <w:rPr>
                <w:rFonts w:ascii="宋体" w:hAnsi="宋体" w:cs="宋体"/>
                <w:color w:val="auto"/>
                <w:highlight w:val="none"/>
              </w:rPr>
            </w:pPr>
            <w:r>
              <w:rPr>
                <w:rFonts w:hint="eastAsia" w:ascii="宋体" w:hAnsi="宋体" w:cs="宋体"/>
                <w:color w:val="auto"/>
                <w:highlight w:val="none"/>
              </w:rPr>
              <w:t>项目名称</w:t>
            </w:r>
          </w:p>
        </w:tc>
        <w:tc>
          <w:tcPr>
            <w:tcW w:w="3926" w:type="dxa"/>
            <w:tcBorders>
              <w:top w:val="double" w:color="auto" w:sz="4" w:space="0"/>
              <w:left w:val="single" w:color="auto" w:sz="6" w:space="0"/>
              <w:right w:val="single" w:color="auto" w:sz="6" w:space="0"/>
            </w:tcBorders>
            <w:vAlign w:val="bottom"/>
          </w:tcPr>
          <w:p w14:paraId="5B4DB162">
            <w:pPr>
              <w:autoSpaceDE w:val="0"/>
              <w:autoSpaceDN w:val="0"/>
              <w:adjustRightInd w:val="0"/>
              <w:spacing w:after="120" w:line="360" w:lineRule="auto"/>
              <w:jc w:val="center"/>
              <w:rPr>
                <w:rFonts w:hint="eastAsia" w:ascii="宋体" w:hAnsi="宋体" w:eastAsia="宋体" w:cs="宋体"/>
                <w:color w:val="auto"/>
                <w:highlight w:val="none"/>
                <w:lang w:eastAsia="zh-CN"/>
              </w:rPr>
            </w:pPr>
            <w:r>
              <w:rPr>
                <w:rFonts w:hint="eastAsia"/>
                <w:color w:val="auto"/>
                <w:lang w:eastAsia="zh-CN"/>
              </w:rPr>
              <w:t>中非经贸博览会走进进博会专场推介会会务服务项目</w:t>
            </w:r>
          </w:p>
        </w:tc>
        <w:tc>
          <w:tcPr>
            <w:tcW w:w="2753" w:type="dxa"/>
            <w:tcBorders>
              <w:top w:val="double" w:color="auto" w:sz="4" w:space="0"/>
              <w:left w:val="single" w:color="auto" w:sz="6" w:space="0"/>
              <w:bottom w:val="single" w:color="auto" w:sz="4" w:space="0"/>
              <w:right w:val="double" w:color="auto" w:sz="4" w:space="0"/>
            </w:tcBorders>
            <w:vAlign w:val="center"/>
          </w:tcPr>
          <w:p w14:paraId="2434D827">
            <w:pPr>
              <w:contextualSpacing/>
              <w:jc w:val="center"/>
              <w:rPr>
                <w:rFonts w:hint="eastAsia" w:ascii="宋体" w:hAnsi="宋体" w:eastAsia="宋体" w:cs="宋体"/>
                <w:color w:val="auto"/>
                <w:highlight w:val="none"/>
                <w:lang w:val="en-US" w:eastAsia="zh-CN"/>
              </w:rPr>
            </w:pPr>
            <w:r>
              <w:rPr>
                <w:rFonts w:hint="eastAsia" w:ascii="宋体" w:hAnsi="宋体" w:cs="宋体"/>
                <w:color w:val="auto"/>
                <w:highlight w:val="none"/>
              </w:rPr>
              <w:t>采购代理编号：</w:t>
            </w:r>
            <w:r>
              <w:rPr>
                <w:rFonts w:hint="eastAsia" w:ascii="宋体" w:hAnsi="宋体" w:cs="宋体"/>
                <w:color w:val="auto"/>
                <w:highlight w:val="none"/>
                <w:lang w:eastAsia="zh-CN"/>
              </w:rPr>
              <w:t>2025-TZ940</w:t>
            </w:r>
          </w:p>
        </w:tc>
      </w:tr>
      <w:tr w14:paraId="58AAB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9" w:type="dxa"/>
            <w:tcBorders>
              <w:top w:val="single" w:color="auto" w:sz="6" w:space="0"/>
              <w:left w:val="double" w:color="auto" w:sz="4" w:space="0"/>
              <w:bottom w:val="single" w:color="auto" w:sz="6" w:space="0"/>
              <w:right w:val="single" w:color="auto" w:sz="6" w:space="0"/>
            </w:tcBorders>
            <w:vAlign w:val="center"/>
          </w:tcPr>
          <w:p w14:paraId="3DBD985D">
            <w:pPr>
              <w:contextualSpacing/>
              <w:jc w:val="center"/>
              <w:rPr>
                <w:rFonts w:ascii="宋体" w:hAnsi="宋体" w:cs="宋体"/>
                <w:color w:val="auto"/>
                <w:highlight w:val="none"/>
              </w:rPr>
            </w:pPr>
            <w:r>
              <w:rPr>
                <w:rFonts w:hint="eastAsia" w:ascii="宋体" w:hAnsi="宋体" w:cs="宋体"/>
                <w:color w:val="auto"/>
                <w:highlight w:val="none"/>
              </w:rPr>
              <w:t>1</w:t>
            </w:r>
          </w:p>
        </w:tc>
        <w:tc>
          <w:tcPr>
            <w:tcW w:w="1401" w:type="dxa"/>
            <w:tcBorders>
              <w:top w:val="single" w:color="auto" w:sz="6" w:space="0"/>
              <w:left w:val="single" w:color="auto" w:sz="6" w:space="0"/>
              <w:bottom w:val="single" w:color="auto" w:sz="6" w:space="0"/>
              <w:right w:val="single" w:color="auto" w:sz="6" w:space="0"/>
            </w:tcBorders>
            <w:vAlign w:val="center"/>
          </w:tcPr>
          <w:p w14:paraId="09938CF5">
            <w:pPr>
              <w:contextualSpacing/>
              <w:jc w:val="center"/>
              <w:rPr>
                <w:rFonts w:ascii="宋体" w:hAnsi="宋体" w:cs="宋体"/>
                <w:color w:val="auto"/>
                <w:highlight w:val="none"/>
              </w:rPr>
            </w:pPr>
            <w:r>
              <w:rPr>
                <w:rFonts w:hint="eastAsia" w:ascii="宋体" w:hAnsi="宋体" w:cs="宋体"/>
                <w:color w:val="auto"/>
                <w:highlight w:val="none"/>
              </w:rPr>
              <w:t>合同包号</w:t>
            </w:r>
          </w:p>
        </w:tc>
        <w:tc>
          <w:tcPr>
            <w:tcW w:w="6679" w:type="dxa"/>
            <w:gridSpan w:val="2"/>
            <w:tcBorders>
              <w:top w:val="single" w:color="auto" w:sz="6" w:space="0"/>
              <w:left w:val="single" w:color="auto" w:sz="6" w:space="0"/>
              <w:bottom w:val="single" w:color="auto" w:sz="6" w:space="0"/>
              <w:right w:val="double" w:color="auto" w:sz="4" w:space="0"/>
            </w:tcBorders>
            <w:vAlign w:val="center"/>
          </w:tcPr>
          <w:p w14:paraId="6BAEDBAA">
            <w:pPr>
              <w:contextualSpacing/>
              <w:jc w:val="center"/>
              <w:rPr>
                <w:rFonts w:ascii="宋体" w:hAnsi="宋体" w:cs="宋体"/>
                <w:color w:val="auto"/>
                <w:highlight w:val="none"/>
              </w:rPr>
            </w:pPr>
            <w:r>
              <w:rPr>
                <w:rFonts w:hint="eastAsia" w:ascii="宋体" w:hAnsi="宋体" w:cs="宋体"/>
                <w:color w:val="auto"/>
                <w:highlight w:val="none"/>
              </w:rPr>
              <w:t>整包</w:t>
            </w:r>
          </w:p>
        </w:tc>
      </w:tr>
      <w:tr w14:paraId="740E6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9" w:type="dxa"/>
            <w:tcBorders>
              <w:top w:val="single" w:color="auto" w:sz="6" w:space="0"/>
              <w:left w:val="double" w:color="auto" w:sz="4" w:space="0"/>
              <w:bottom w:val="single" w:color="auto" w:sz="6" w:space="0"/>
              <w:right w:val="single" w:color="auto" w:sz="6" w:space="0"/>
            </w:tcBorders>
            <w:vAlign w:val="center"/>
          </w:tcPr>
          <w:p w14:paraId="16FF9419">
            <w:pPr>
              <w:contextualSpacing/>
              <w:jc w:val="center"/>
              <w:rPr>
                <w:rFonts w:ascii="宋体" w:hAnsi="宋体" w:cs="宋体"/>
                <w:color w:val="auto"/>
                <w:highlight w:val="none"/>
              </w:rPr>
            </w:pPr>
            <w:r>
              <w:rPr>
                <w:rFonts w:hint="eastAsia" w:ascii="宋体" w:hAnsi="宋体" w:cs="宋体"/>
                <w:color w:val="auto"/>
                <w:highlight w:val="none"/>
              </w:rPr>
              <w:t>2</w:t>
            </w:r>
          </w:p>
        </w:tc>
        <w:tc>
          <w:tcPr>
            <w:tcW w:w="1401" w:type="dxa"/>
            <w:tcBorders>
              <w:top w:val="single" w:color="auto" w:sz="6" w:space="0"/>
              <w:left w:val="single" w:color="auto" w:sz="6" w:space="0"/>
              <w:bottom w:val="single" w:color="auto" w:sz="6" w:space="0"/>
              <w:right w:val="single" w:color="auto" w:sz="6" w:space="0"/>
            </w:tcBorders>
            <w:vAlign w:val="center"/>
          </w:tcPr>
          <w:p w14:paraId="292EE7A6">
            <w:pPr>
              <w:contextualSpacing/>
              <w:jc w:val="center"/>
              <w:rPr>
                <w:rFonts w:ascii="宋体" w:hAnsi="宋体" w:cs="宋体"/>
                <w:color w:val="auto"/>
                <w:highlight w:val="none"/>
              </w:rPr>
            </w:pPr>
            <w:r>
              <w:rPr>
                <w:rFonts w:hint="eastAsia" w:ascii="宋体" w:hAnsi="宋体" w:cs="宋体"/>
                <w:color w:val="auto"/>
                <w:highlight w:val="none"/>
              </w:rPr>
              <w:t>服务名称</w:t>
            </w:r>
          </w:p>
        </w:tc>
        <w:tc>
          <w:tcPr>
            <w:tcW w:w="6679" w:type="dxa"/>
            <w:gridSpan w:val="2"/>
            <w:tcBorders>
              <w:top w:val="single" w:color="auto" w:sz="6" w:space="0"/>
              <w:left w:val="single" w:color="auto" w:sz="6" w:space="0"/>
              <w:bottom w:val="single" w:color="auto" w:sz="6" w:space="0"/>
              <w:right w:val="double" w:color="auto" w:sz="4" w:space="0"/>
            </w:tcBorders>
            <w:vAlign w:val="center"/>
          </w:tcPr>
          <w:p w14:paraId="294AB1AA">
            <w:pPr>
              <w:autoSpaceDE w:val="0"/>
              <w:autoSpaceDN w:val="0"/>
              <w:adjustRightInd w:val="0"/>
              <w:spacing w:after="120" w:line="360" w:lineRule="auto"/>
              <w:ind w:firstLine="420" w:firstLineChars="200"/>
              <w:jc w:val="center"/>
              <w:rPr>
                <w:rFonts w:hint="eastAsia" w:ascii="宋体" w:hAnsi="宋体" w:eastAsia="宋体" w:cs="宋体"/>
                <w:color w:val="auto"/>
                <w:highlight w:val="none"/>
                <w:lang w:eastAsia="zh-CN"/>
              </w:rPr>
            </w:pPr>
            <w:r>
              <w:rPr>
                <w:rFonts w:hint="eastAsia"/>
                <w:color w:val="auto"/>
                <w:lang w:eastAsia="zh-CN"/>
              </w:rPr>
              <w:t>中非经贸博览会走进进博会专场推介会会务服务项目</w:t>
            </w:r>
          </w:p>
        </w:tc>
      </w:tr>
      <w:tr w14:paraId="1660F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9" w:type="dxa"/>
            <w:tcBorders>
              <w:top w:val="single" w:color="auto" w:sz="6" w:space="0"/>
              <w:left w:val="double" w:color="auto" w:sz="4" w:space="0"/>
              <w:bottom w:val="single" w:color="auto" w:sz="6" w:space="0"/>
              <w:right w:val="single" w:color="auto" w:sz="6" w:space="0"/>
            </w:tcBorders>
            <w:vAlign w:val="center"/>
          </w:tcPr>
          <w:p w14:paraId="626AE91F">
            <w:pPr>
              <w:contextualSpacing/>
              <w:jc w:val="center"/>
              <w:rPr>
                <w:rFonts w:ascii="宋体" w:hAnsi="宋体" w:cs="宋体"/>
                <w:color w:val="auto"/>
                <w:highlight w:val="none"/>
              </w:rPr>
            </w:pPr>
            <w:r>
              <w:rPr>
                <w:rFonts w:hint="eastAsia" w:ascii="宋体" w:hAnsi="宋体" w:cs="宋体"/>
                <w:color w:val="auto"/>
                <w:highlight w:val="none"/>
              </w:rPr>
              <w:t>3</w:t>
            </w:r>
          </w:p>
        </w:tc>
        <w:tc>
          <w:tcPr>
            <w:tcW w:w="1401" w:type="dxa"/>
            <w:tcBorders>
              <w:top w:val="single" w:color="auto" w:sz="6" w:space="0"/>
              <w:left w:val="single" w:color="auto" w:sz="6" w:space="0"/>
              <w:bottom w:val="single" w:color="auto" w:sz="6" w:space="0"/>
              <w:right w:val="single" w:color="auto" w:sz="6" w:space="0"/>
            </w:tcBorders>
            <w:vAlign w:val="center"/>
          </w:tcPr>
          <w:p w14:paraId="47871068">
            <w:pPr>
              <w:contextualSpacing/>
              <w:jc w:val="center"/>
              <w:rPr>
                <w:rFonts w:ascii="宋体" w:hAnsi="宋体" w:cs="宋体"/>
                <w:color w:val="auto"/>
                <w:highlight w:val="none"/>
              </w:rPr>
            </w:pPr>
            <w:r>
              <w:rPr>
                <w:rFonts w:hint="eastAsia" w:ascii="宋体" w:hAnsi="宋体" w:cs="宋体"/>
                <w:color w:val="auto"/>
                <w:highlight w:val="none"/>
              </w:rPr>
              <w:t>服务要求</w:t>
            </w:r>
          </w:p>
        </w:tc>
        <w:tc>
          <w:tcPr>
            <w:tcW w:w="6679" w:type="dxa"/>
            <w:gridSpan w:val="2"/>
            <w:tcBorders>
              <w:top w:val="single" w:color="auto" w:sz="6" w:space="0"/>
              <w:left w:val="single" w:color="auto" w:sz="6" w:space="0"/>
              <w:bottom w:val="single" w:color="auto" w:sz="6" w:space="0"/>
              <w:right w:val="double" w:color="auto" w:sz="4" w:space="0"/>
            </w:tcBorders>
            <w:vAlign w:val="center"/>
          </w:tcPr>
          <w:p w14:paraId="423D3100">
            <w:pPr>
              <w:contextualSpacing/>
              <w:jc w:val="center"/>
              <w:rPr>
                <w:rFonts w:ascii="宋体" w:hAnsi="宋体" w:cs="宋体"/>
                <w:color w:val="auto"/>
                <w:highlight w:val="none"/>
              </w:rPr>
            </w:pPr>
            <w:r>
              <w:rPr>
                <w:rFonts w:hint="eastAsia" w:ascii="宋体" w:hAnsi="宋体" w:cs="宋体"/>
                <w:color w:val="auto"/>
                <w:highlight w:val="none"/>
              </w:rPr>
              <w:t>符合采购需求要求</w:t>
            </w:r>
          </w:p>
        </w:tc>
      </w:tr>
      <w:tr w14:paraId="04020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09" w:type="dxa"/>
            <w:tcBorders>
              <w:top w:val="single" w:color="auto" w:sz="6" w:space="0"/>
              <w:left w:val="double" w:color="auto" w:sz="4" w:space="0"/>
              <w:bottom w:val="single" w:color="auto" w:sz="6" w:space="0"/>
              <w:right w:val="single" w:color="auto" w:sz="6" w:space="0"/>
            </w:tcBorders>
            <w:vAlign w:val="center"/>
          </w:tcPr>
          <w:p w14:paraId="3EAD75A3">
            <w:pPr>
              <w:contextualSpacing/>
              <w:jc w:val="center"/>
              <w:rPr>
                <w:rFonts w:ascii="宋体" w:hAnsi="宋体" w:cs="宋体"/>
                <w:color w:val="auto"/>
                <w:highlight w:val="none"/>
              </w:rPr>
            </w:pPr>
            <w:r>
              <w:rPr>
                <w:rFonts w:hint="eastAsia" w:ascii="宋体" w:hAnsi="宋体" w:cs="宋体"/>
                <w:color w:val="auto"/>
                <w:highlight w:val="none"/>
              </w:rPr>
              <w:t>4</w:t>
            </w:r>
          </w:p>
        </w:tc>
        <w:tc>
          <w:tcPr>
            <w:tcW w:w="1401" w:type="dxa"/>
            <w:tcBorders>
              <w:top w:val="single" w:color="auto" w:sz="6" w:space="0"/>
              <w:left w:val="single" w:color="auto" w:sz="6" w:space="0"/>
              <w:bottom w:val="single" w:color="auto" w:sz="6" w:space="0"/>
              <w:right w:val="single" w:color="auto" w:sz="6" w:space="0"/>
            </w:tcBorders>
            <w:vAlign w:val="center"/>
          </w:tcPr>
          <w:p w14:paraId="268B837C">
            <w:pPr>
              <w:contextualSpacing/>
              <w:jc w:val="center"/>
              <w:rPr>
                <w:rFonts w:ascii="宋体" w:hAnsi="宋体" w:cs="宋体"/>
                <w:b/>
                <w:color w:val="auto"/>
                <w:highlight w:val="none"/>
              </w:rPr>
            </w:pPr>
            <w:r>
              <w:rPr>
                <w:rFonts w:hint="eastAsia" w:ascii="宋体" w:hAnsi="宋体" w:cs="宋体"/>
                <w:b/>
                <w:color w:val="auto"/>
                <w:highlight w:val="none"/>
              </w:rPr>
              <w:t>总报价</w:t>
            </w:r>
          </w:p>
          <w:p w14:paraId="62C495F5">
            <w:pPr>
              <w:pStyle w:val="35"/>
              <w:rPr>
                <w:rFonts w:ascii="宋体" w:hAnsi="宋体" w:eastAsia="宋体" w:cs="宋体"/>
                <w:b/>
                <w:color w:val="auto"/>
                <w:kern w:val="2"/>
                <w:sz w:val="21"/>
                <w:szCs w:val="21"/>
                <w:highlight w:val="none"/>
              </w:rPr>
            </w:pPr>
          </w:p>
        </w:tc>
        <w:tc>
          <w:tcPr>
            <w:tcW w:w="6679" w:type="dxa"/>
            <w:gridSpan w:val="2"/>
            <w:tcBorders>
              <w:top w:val="single" w:color="auto" w:sz="6" w:space="0"/>
              <w:left w:val="single" w:color="auto" w:sz="6" w:space="0"/>
              <w:bottom w:val="single" w:color="auto" w:sz="6" w:space="0"/>
              <w:right w:val="double" w:color="auto" w:sz="4" w:space="0"/>
            </w:tcBorders>
          </w:tcPr>
          <w:p w14:paraId="6E010AA9">
            <w:pPr>
              <w:ind w:firstLine="105" w:firstLineChars="50"/>
              <w:contextualSpacing/>
              <w:rPr>
                <w:rFonts w:ascii="宋体" w:hAnsi="宋体" w:cs="宋体"/>
                <w:b/>
                <w:color w:val="auto"/>
                <w:highlight w:val="none"/>
              </w:rPr>
            </w:pPr>
          </w:p>
          <w:p w14:paraId="15C38143">
            <w:pPr>
              <w:ind w:firstLine="105" w:firstLineChars="50"/>
              <w:contextualSpacing/>
              <w:rPr>
                <w:rFonts w:ascii="宋体" w:hAnsi="宋体" w:cs="宋体"/>
                <w:color w:val="auto"/>
                <w:highlight w:val="none"/>
                <w:u w:val="single"/>
              </w:rPr>
            </w:pPr>
            <w:r>
              <w:rPr>
                <w:rFonts w:hint="eastAsia" w:ascii="宋体" w:hAnsi="宋体" w:cs="宋体"/>
                <w:b/>
                <w:color w:val="auto"/>
                <w:highlight w:val="none"/>
              </w:rPr>
              <w:t>大写：</w:t>
            </w:r>
            <w:r>
              <w:rPr>
                <w:rFonts w:hint="eastAsia" w:ascii="宋体" w:hAnsi="宋体" w:cs="宋体"/>
                <w:b/>
                <w:color w:val="auto"/>
                <w:highlight w:val="none"/>
                <w:u w:val="single"/>
              </w:rPr>
              <w:t xml:space="preserve">              </w:t>
            </w:r>
          </w:p>
          <w:p w14:paraId="6439C4ED">
            <w:pPr>
              <w:ind w:firstLine="105" w:firstLineChars="50"/>
              <w:contextualSpacing/>
              <w:rPr>
                <w:rFonts w:ascii="宋体" w:hAnsi="宋体" w:cs="宋体"/>
                <w:b/>
                <w:color w:val="auto"/>
                <w:highlight w:val="none"/>
              </w:rPr>
            </w:pPr>
          </w:p>
          <w:p w14:paraId="3B399427">
            <w:pPr>
              <w:ind w:firstLine="105" w:firstLineChars="50"/>
              <w:contextualSpacing/>
              <w:rPr>
                <w:rFonts w:ascii="宋体" w:hAnsi="宋体" w:cs="宋体"/>
                <w:b/>
                <w:color w:val="auto"/>
                <w:highlight w:val="none"/>
              </w:rPr>
            </w:pPr>
            <w:r>
              <w:rPr>
                <w:rFonts w:hint="eastAsia" w:ascii="宋体" w:hAnsi="宋体" w:cs="宋体"/>
                <w:b/>
                <w:color w:val="auto"/>
                <w:highlight w:val="none"/>
              </w:rPr>
              <w:t>小写：______________</w:t>
            </w:r>
          </w:p>
        </w:tc>
      </w:tr>
      <w:tr w14:paraId="3E0D4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709" w:type="dxa"/>
            <w:tcBorders>
              <w:top w:val="single" w:color="auto" w:sz="6" w:space="0"/>
              <w:left w:val="double" w:color="auto" w:sz="4" w:space="0"/>
              <w:bottom w:val="double" w:color="auto" w:sz="4" w:space="0"/>
              <w:right w:val="single" w:color="auto" w:sz="6" w:space="0"/>
            </w:tcBorders>
            <w:vAlign w:val="center"/>
          </w:tcPr>
          <w:p w14:paraId="133C3F1D">
            <w:pPr>
              <w:contextualSpacing/>
              <w:jc w:val="center"/>
              <w:rPr>
                <w:rFonts w:ascii="宋体" w:hAnsi="宋体" w:cs="宋体"/>
                <w:color w:val="auto"/>
                <w:highlight w:val="none"/>
              </w:rPr>
            </w:pPr>
            <w:r>
              <w:rPr>
                <w:rFonts w:hint="eastAsia" w:ascii="宋体" w:hAnsi="宋体" w:cs="宋体"/>
                <w:color w:val="auto"/>
                <w:highlight w:val="none"/>
              </w:rPr>
              <w:t>5</w:t>
            </w:r>
          </w:p>
        </w:tc>
        <w:tc>
          <w:tcPr>
            <w:tcW w:w="1401" w:type="dxa"/>
            <w:tcBorders>
              <w:top w:val="single" w:color="auto" w:sz="6" w:space="0"/>
              <w:left w:val="single" w:color="auto" w:sz="6" w:space="0"/>
              <w:bottom w:val="double" w:color="auto" w:sz="4" w:space="0"/>
              <w:right w:val="single" w:color="auto" w:sz="6" w:space="0"/>
            </w:tcBorders>
            <w:vAlign w:val="center"/>
          </w:tcPr>
          <w:p w14:paraId="490623FA">
            <w:pPr>
              <w:contextualSpacing/>
              <w:jc w:val="center"/>
              <w:rPr>
                <w:rFonts w:ascii="宋体" w:hAnsi="宋体" w:cs="宋体"/>
                <w:color w:val="auto"/>
                <w:highlight w:val="none"/>
              </w:rPr>
            </w:pPr>
            <w:r>
              <w:rPr>
                <w:rFonts w:hint="eastAsia" w:ascii="宋体" w:hAnsi="宋体" w:cs="宋体"/>
                <w:color w:val="auto"/>
                <w:highlight w:val="none"/>
              </w:rPr>
              <w:t>备  注</w:t>
            </w:r>
          </w:p>
        </w:tc>
        <w:tc>
          <w:tcPr>
            <w:tcW w:w="6679" w:type="dxa"/>
            <w:gridSpan w:val="2"/>
            <w:tcBorders>
              <w:top w:val="single" w:color="auto" w:sz="6" w:space="0"/>
              <w:left w:val="single" w:color="auto" w:sz="6" w:space="0"/>
              <w:bottom w:val="double" w:color="auto" w:sz="4" w:space="0"/>
              <w:right w:val="double" w:color="auto" w:sz="4" w:space="0"/>
            </w:tcBorders>
          </w:tcPr>
          <w:p w14:paraId="70BAD9D0">
            <w:pPr>
              <w:ind w:firstLine="105" w:firstLineChars="50"/>
              <w:contextualSpacing/>
              <w:rPr>
                <w:rFonts w:ascii="宋体" w:hAnsi="宋体" w:cs="宋体"/>
                <w:color w:val="auto"/>
                <w:highlight w:val="none"/>
              </w:rPr>
            </w:pPr>
          </w:p>
        </w:tc>
      </w:tr>
    </w:tbl>
    <w:p w14:paraId="167C8471">
      <w:pPr>
        <w:adjustRightInd w:val="0"/>
        <w:snapToGrid w:val="0"/>
        <w:spacing w:line="360" w:lineRule="auto"/>
        <w:jc w:val="right"/>
        <w:rPr>
          <w:rFonts w:ascii="仿宋_GB2312" w:hAnsi="宋体" w:eastAsia="仿宋_GB2312" w:cs="Times New Roman"/>
          <w:color w:val="auto"/>
          <w:sz w:val="24"/>
          <w:highlight w:val="none"/>
        </w:rPr>
      </w:pPr>
    </w:p>
    <w:p w14:paraId="5F93BF0F">
      <w:pPr>
        <w:pStyle w:val="35"/>
        <w:rPr>
          <w:color w:val="auto"/>
          <w:highlight w:val="none"/>
        </w:rPr>
      </w:pPr>
    </w:p>
    <w:p w14:paraId="071C1457">
      <w:pPr>
        <w:pStyle w:val="35"/>
        <w:rPr>
          <w:color w:val="auto"/>
          <w:highlight w:val="none"/>
        </w:rPr>
      </w:pPr>
    </w:p>
    <w:p w14:paraId="383BF1A7">
      <w:pPr>
        <w:pStyle w:val="35"/>
        <w:rPr>
          <w:color w:val="auto"/>
          <w:highlight w:val="none"/>
        </w:rPr>
      </w:pPr>
    </w:p>
    <w:p w14:paraId="4114F31C">
      <w:pPr>
        <w:pStyle w:val="12"/>
        <w:adjustRightInd w:val="0"/>
        <w:snapToGrid w:val="0"/>
        <w:spacing w:line="360" w:lineRule="auto"/>
        <w:ind w:right="23" w:rightChars="11"/>
        <w:outlineLvl w:val="0"/>
        <w:rPr>
          <w:rFonts w:ascii="宋体" w:hAnsi="宋体" w:cs="宋体"/>
          <w:color w:val="auto"/>
          <w:sz w:val="21"/>
          <w:szCs w:val="21"/>
          <w:highlight w:val="none"/>
        </w:rPr>
      </w:pPr>
      <w:r>
        <w:rPr>
          <w:rFonts w:hint="eastAsia" w:ascii="宋体" w:hAnsi="宋体" w:cs="宋体"/>
          <w:color w:val="auto"/>
          <w:sz w:val="21"/>
          <w:szCs w:val="21"/>
          <w:highlight w:val="none"/>
        </w:rPr>
        <w:t>供应商名称（盖单位章）：</w:t>
      </w:r>
    </w:p>
    <w:p w14:paraId="670B0ED3">
      <w:pPr>
        <w:adjustRightInd w:val="0"/>
        <w:snapToGrid w:val="0"/>
        <w:spacing w:line="360" w:lineRule="auto"/>
        <w:ind w:right="23" w:rightChars="11"/>
        <w:outlineLvl w:val="0"/>
        <w:rPr>
          <w:rFonts w:ascii="宋体" w:hAnsi="宋体" w:cs="宋体"/>
          <w:color w:val="auto"/>
          <w:highlight w:val="none"/>
        </w:rPr>
      </w:pPr>
      <w:r>
        <w:rPr>
          <w:rFonts w:hint="eastAsia" w:ascii="宋体" w:hAnsi="宋体" w:cs="宋体"/>
          <w:color w:val="auto"/>
          <w:highlight w:val="none"/>
        </w:rPr>
        <w:t>法定代表人或其委托代理人(签字)：</w:t>
      </w:r>
    </w:p>
    <w:p w14:paraId="589D0FAC">
      <w:pPr>
        <w:adjustRightInd w:val="0"/>
        <w:snapToGrid w:val="0"/>
        <w:spacing w:line="360" w:lineRule="auto"/>
        <w:ind w:right="23" w:rightChars="11"/>
        <w:rPr>
          <w:rFonts w:ascii="宋体" w:hAnsi="宋体" w:cs="宋体"/>
          <w:bCs/>
        </w:rPr>
      </w:pPr>
      <w:r>
        <w:rPr>
          <w:rFonts w:hint="eastAsia" w:ascii="宋体" w:hAnsi="宋体" w:cs="宋体"/>
          <w:color w:val="auto"/>
          <w:highlight w:val="none"/>
        </w:rPr>
        <w:t xml:space="preserve">日  期：  </w:t>
      </w:r>
      <w:r>
        <w:rPr>
          <w:rFonts w:hint="eastAsia" w:ascii="宋体" w:hAnsi="宋体" w:cs="宋体"/>
        </w:rPr>
        <w:t xml:space="preserve">    年    月    日</w:t>
      </w:r>
    </w:p>
    <w:p w14:paraId="67699EB2">
      <w:pPr>
        <w:adjustRightInd w:val="0"/>
        <w:snapToGrid w:val="0"/>
        <w:spacing w:line="360" w:lineRule="auto"/>
        <w:ind w:right="23" w:rightChars="11"/>
        <w:rPr>
          <w:rFonts w:ascii="宋体" w:hAnsi="宋体" w:cs="宋体"/>
          <w:color w:val="auto"/>
          <w:highlight w:val="none"/>
        </w:rPr>
        <w:sectPr>
          <w:footerReference r:id="rId5" w:type="default"/>
          <w:pgSz w:w="11906" w:h="16838"/>
          <w:pgMar w:top="1134" w:right="1418" w:bottom="709" w:left="1474" w:header="851" w:footer="799" w:gutter="0"/>
          <w:pgNumType w:start="1"/>
          <w:cols w:space="720" w:num="1"/>
          <w:docGrid w:type="linesAndChars" w:linePitch="312" w:charSpace="0"/>
        </w:sectPr>
      </w:pPr>
    </w:p>
    <w:p w14:paraId="11A52ABD">
      <w:pPr>
        <w:pStyle w:val="35"/>
        <w:rPr>
          <w:color w:val="auto"/>
          <w:highlight w:val="none"/>
        </w:rPr>
      </w:pPr>
    </w:p>
    <w:p w14:paraId="56158483">
      <w:pPr>
        <w:adjustRightInd w:val="0"/>
        <w:snapToGrid w:val="0"/>
        <w:spacing w:line="360" w:lineRule="auto"/>
        <w:ind w:left="-88" w:leftChars="-42" w:right="23" w:rightChars="11"/>
        <w:jc w:val="center"/>
        <w:rPr>
          <w:rFonts w:ascii="宋体" w:hAnsi="宋体" w:cs="宋体"/>
          <w:b/>
          <w:color w:val="auto"/>
          <w:sz w:val="32"/>
          <w:szCs w:val="32"/>
          <w:highlight w:val="none"/>
        </w:rPr>
      </w:pPr>
      <w:r>
        <w:rPr>
          <w:rFonts w:hint="eastAsia" w:ascii="宋体" w:hAnsi="宋体" w:cs="宋体"/>
          <w:b/>
          <w:color w:val="auto"/>
          <w:sz w:val="32"/>
          <w:szCs w:val="32"/>
          <w:highlight w:val="none"/>
        </w:rPr>
        <w:t>六</w:t>
      </w:r>
      <w:r>
        <w:rPr>
          <w:rFonts w:hint="eastAsia" w:ascii="宋体" w:hAnsi="宋体" w:cs="宋体"/>
          <w:b/>
          <w:bCs/>
          <w:color w:val="auto"/>
          <w:sz w:val="32"/>
          <w:szCs w:val="32"/>
          <w:highlight w:val="none"/>
        </w:rPr>
        <w:t>、服务方案</w:t>
      </w:r>
    </w:p>
    <w:p w14:paraId="764A0929">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69B27A4F">
      <w:pPr>
        <w:pStyle w:val="35"/>
        <w:rPr>
          <w:rFonts w:ascii="宋体" w:hAnsi="宋体" w:eastAsia="宋体" w:cs="宋体"/>
          <w:color w:val="auto"/>
          <w:highlight w:val="none"/>
        </w:rPr>
      </w:pPr>
    </w:p>
    <w:p w14:paraId="11939863">
      <w:pPr>
        <w:adjustRightInd w:val="0"/>
        <w:snapToGrid w:val="0"/>
        <w:spacing w:beforeLines="50" w:line="360" w:lineRule="auto"/>
        <w:ind w:right="23" w:rightChars="11"/>
        <w:jc w:val="left"/>
        <w:outlineLvl w:val="0"/>
        <w:rPr>
          <w:rFonts w:ascii="宋体" w:hAnsi="宋体" w:cs="宋体"/>
          <w:b/>
          <w:color w:val="auto"/>
          <w:sz w:val="32"/>
          <w:szCs w:val="32"/>
          <w:highlight w:val="none"/>
        </w:rPr>
      </w:pPr>
    </w:p>
    <w:p w14:paraId="48344DA9">
      <w:pPr>
        <w:adjustRightInd w:val="0"/>
        <w:snapToGrid w:val="0"/>
        <w:spacing w:beforeLines="50" w:line="360" w:lineRule="auto"/>
        <w:ind w:right="23" w:rightChars="11"/>
        <w:outlineLvl w:val="0"/>
        <w:rPr>
          <w:rFonts w:ascii="宋体" w:hAnsi="宋体" w:cs="宋体"/>
          <w:b/>
          <w:color w:val="auto"/>
          <w:sz w:val="32"/>
          <w:szCs w:val="32"/>
          <w:highlight w:val="none"/>
        </w:rPr>
      </w:pPr>
    </w:p>
    <w:p w14:paraId="5BB0DB4F">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1D36325E">
      <w:pPr>
        <w:pStyle w:val="35"/>
        <w:rPr>
          <w:rFonts w:ascii="宋体" w:hAnsi="宋体" w:eastAsia="宋体" w:cs="宋体"/>
          <w:b/>
          <w:color w:val="auto"/>
          <w:sz w:val="32"/>
          <w:szCs w:val="32"/>
          <w:highlight w:val="none"/>
        </w:rPr>
      </w:pPr>
    </w:p>
    <w:p w14:paraId="27FE4A70">
      <w:pPr>
        <w:pStyle w:val="35"/>
        <w:rPr>
          <w:rFonts w:ascii="宋体" w:hAnsi="宋体" w:eastAsia="宋体" w:cs="宋体"/>
          <w:b/>
          <w:color w:val="auto"/>
          <w:sz w:val="32"/>
          <w:szCs w:val="32"/>
          <w:highlight w:val="none"/>
        </w:rPr>
      </w:pPr>
    </w:p>
    <w:p w14:paraId="3698AC03">
      <w:pPr>
        <w:pStyle w:val="35"/>
        <w:rPr>
          <w:rFonts w:ascii="宋体" w:hAnsi="宋体" w:eastAsia="宋体" w:cs="宋体"/>
          <w:b/>
          <w:color w:val="auto"/>
          <w:sz w:val="32"/>
          <w:szCs w:val="32"/>
          <w:highlight w:val="none"/>
        </w:rPr>
      </w:pPr>
    </w:p>
    <w:p w14:paraId="0B39868E">
      <w:pPr>
        <w:pStyle w:val="35"/>
        <w:rPr>
          <w:rFonts w:ascii="宋体" w:hAnsi="宋体" w:eastAsia="宋体" w:cs="宋体"/>
          <w:b/>
          <w:color w:val="auto"/>
          <w:sz w:val="32"/>
          <w:szCs w:val="32"/>
          <w:highlight w:val="none"/>
        </w:rPr>
      </w:pPr>
    </w:p>
    <w:p w14:paraId="3FC9A5DE">
      <w:pPr>
        <w:pStyle w:val="35"/>
        <w:rPr>
          <w:rFonts w:ascii="宋体" w:hAnsi="宋体" w:eastAsia="宋体" w:cs="宋体"/>
          <w:b/>
          <w:color w:val="auto"/>
          <w:sz w:val="32"/>
          <w:szCs w:val="32"/>
          <w:highlight w:val="none"/>
        </w:rPr>
      </w:pPr>
    </w:p>
    <w:p w14:paraId="1B499C8E">
      <w:pPr>
        <w:pStyle w:val="35"/>
        <w:rPr>
          <w:rFonts w:ascii="宋体" w:hAnsi="宋体" w:eastAsia="宋体" w:cs="宋体"/>
          <w:b/>
          <w:color w:val="auto"/>
          <w:sz w:val="32"/>
          <w:szCs w:val="32"/>
          <w:highlight w:val="none"/>
        </w:rPr>
      </w:pPr>
    </w:p>
    <w:p w14:paraId="368C96DA">
      <w:pPr>
        <w:pStyle w:val="35"/>
        <w:rPr>
          <w:rFonts w:ascii="宋体" w:hAnsi="宋体" w:eastAsia="宋体" w:cs="宋体"/>
          <w:b/>
          <w:color w:val="auto"/>
          <w:sz w:val="32"/>
          <w:szCs w:val="32"/>
          <w:highlight w:val="none"/>
        </w:rPr>
      </w:pPr>
    </w:p>
    <w:p w14:paraId="6B7A293F">
      <w:pPr>
        <w:pStyle w:val="35"/>
        <w:rPr>
          <w:rFonts w:ascii="宋体" w:hAnsi="宋体" w:eastAsia="宋体" w:cs="宋体"/>
          <w:b/>
          <w:color w:val="auto"/>
          <w:sz w:val="32"/>
          <w:szCs w:val="32"/>
          <w:highlight w:val="none"/>
        </w:rPr>
      </w:pPr>
    </w:p>
    <w:p w14:paraId="64CE5C50">
      <w:pPr>
        <w:pStyle w:val="35"/>
        <w:rPr>
          <w:rFonts w:ascii="宋体" w:hAnsi="宋体" w:eastAsia="宋体" w:cs="宋体"/>
          <w:b/>
          <w:color w:val="auto"/>
          <w:sz w:val="32"/>
          <w:szCs w:val="32"/>
          <w:highlight w:val="none"/>
        </w:rPr>
      </w:pPr>
    </w:p>
    <w:p w14:paraId="3AFCDBDA">
      <w:pPr>
        <w:pStyle w:val="35"/>
        <w:rPr>
          <w:rFonts w:ascii="宋体" w:hAnsi="宋体" w:eastAsia="宋体" w:cs="宋体"/>
          <w:b/>
          <w:color w:val="auto"/>
          <w:sz w:val="32"/>
          <w:szCs w:val="32"/>
          <w:highlight w:val="none"/>
        </w:rPr>
      </w:pPr>
    </w:p>
    <w:p w14:paraId="60BF1A88">
      <w:pPr>
        <w:pStyle w:val="35"/>
        <w:rPr>
          <w:rFonts w:ascii="宋体" w:hAnsi="宋体" w:eastAsia="宋体" w:cs="宋体"/>
          <w:b/>
          <w:color w:val="auto"/>
          <w:sz w:val="32"/>
          <w:szCs w:val="32"/>
          <w:highlight w:val="none"/>
        </w:rPr>
      </w:pPr>
    </w:p>
    <w:p w14:paraId="40C7232C">
      <w:pPr>
        <w:pStyle w:val="35"/>
        <w:rPr>
          <w:rFonts w:ascii="宋体" w:hAnsi="宋体" w:eastAsia="宋体" w:cs="宋体"/>
          <w:b/>
          <w:color w:val="auto"/>
          <w:sz w:val="32"/>
          <w:szCs w:val="32"/>
          <w:highlight w:val="none"/>
        </w:rPr>
      </w:pPr>
    </w:p>
    <w:p w14:paraId="35274FFB">
      <w:pPr>
        <w:pStyle w:val="35"/>
        <w:rPr>
          <w:rFonts w:ascii="宋体" w:hAnsi="宋体" w:eastAsia="宋体" w:cs="宋体"/>
          <w:b/>
          <w:color w:val="auto"/>
          <w:sz w:val="32"/>
          <w:szCs w:val="32"/>
          <w:highlight w:val="none"/>
        </w:rPr>
      </w:pPr>
    </w:p>
    <w:p w14:paraId="116F61F5">
      <w:pPr>
        <w:pStyle w:val="35"/>
        <w:rPr>
          <w:rFonts w:ascii="宋体" w:hAnsi="宋体" w:eastAsia="宋体" w:cs="宋体"/>
          <w:b/>
          <w:color w:val="auto"/>
          <w:sz w:val="32"/>
          <w:szCs w:val="32"/>
          <w:highlight w:val="none"/>
        </w:rPr>
      </w:pPr>
    </w:p>
    <w:p w14:paraId="3CE3F203">
      <w:pPr>
        <w:pStyle w:val="35"/>
        <w:rPr>
          <w:rFonts w:ascii="宋体" w:hAnsi="宋体" w:eastAsia="宋体" w:cs="宋体"/>
          <w:b/>
          <w:color w:val="auto"/>
          <w:sz w:val="32"/>
          <w:szCs w:val="32"/>
          <w:highlight w:val="none"/>
        </w:rPr>
      </w:pPr>
    </w:p>
    <w:p w14:paraId="6E3CAF30">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2E3F24BF">
      <w:pPr>
        <w:adjustRightInd w:val="0"/>
        <w:snapToGrid w:val="0"/>
        <w:spacing w:beforeLines="50" w:line="360" w:lineRule="auto"/>
        <w:ind w:right="23" w:rightChars="11"/>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七、</w:t>
      </w:r>
      <w:r>
        <w:rPr>
          <w:rFonts w:hint="eastAsia" w:hAnsi="宋体"/>
          <w:b/>
          <w:color w:val="auto"/>
          <w:sz w:val="32"/>
          <w:szCs w:val="32"/>
          <w:highlight w:val="none"/>
        </w:rPr>
        <w:t>供应商认为需要提供的其他材料</w:t>
      </w:r>
    </w:p>
    <w:p w14:paraId="09C36B17">
      <w:pPr>
        <w:adjustRightInd w:val="0"/>
        <w:snapToGrid w:val="0"/>
        <w:spacing w:beforeLines="50" w:line="360" w:lineRule="auto"/>
        <w:ind w:right="23" w:rightChars="11"/>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包括“</w:t>
      </w:r>
      <w:r>
        <w:rPr>
          <w:rFonts w:hint="eastAsia" w:ascii="宋体" w:hAnsi="宋体" w:cs="宋体"/>
          <w:bCs/>
          <w:color w:val="auto"/>
          <w:sz w:val="24"/>
          <w:szCs w:val="24"/>
          <w:highlight w:val="none"/>
        </w:rPr>
        <w:t>评审因素和标准</w:t>
      </w:r>
      <w:r>
        <w:rPr>
          <w:rFonts w:hint="eastAsia" w:ascii="宋体" w:hAnsi="宋体" w:cs="宋体"/>
          <w:color w:val="auto"/>
          <w:sz w:val="24"/>
          <w:szCs w:val="24"/>
          <w:highlight w:val="none"/>
        </w:rPr>
        <w:t>”中需要提供的材料</w:t>
      </w:r>
    </w:p>
    <w:p w14:paraId="2A46C400">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16511897">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2EBCEAE9">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0511A15E">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11EBB16D">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4A05CF9E">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5BF7ABD8">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78BCE9B4">
      <w:pPr>
        <w:pStyle w:val="35"/>
        <w:rPr>
          <w:color w:val="auto"/>
          <w:highlight w:val="none"/>
        </w:rPr>
      </w:pPr>
    </w:p>
    <w:p w14:paraId="6552B493">
      <w:pPr>
        <w:pStyle w:val="35"/>
        <w:rPr>
          <w:color w:val="auto"/>
          <w:highlight w:val="none"/>
        </w:rPr>
      </w:pPr>
    </w:p>
    <w:p w14:paraId="0E2BC40B">
      <w:pPr>
        <w:pStyle w:val="35"/>
        <w:rPr>
          <w:color w:val="auto"/>
          <w:highlight w:val="none"/>
        </w:rPr>
      </w:pPr>
    </w:p>
    <w:p w14:paraId="1167AE56">
      <w:pPr>
        <w:pStyle w:val="35"/>
        <w:rPr>
          <w:color w:val="auto"/>
          <w:highlight w:val="none"/>
        </w:rPr>
      </w:pPr>
    </w:p>
    <w:p w14:paraId="5FCFB2D0">
      <w:pPr>
        <w:pStyle w:val="35"/>
        <w:rPr>
          <w:color w:val="auto"/>
          <w:highlight w:val="none"/>
        </w:rPr>
      </w:pPr>
    </w:p>
    <w:p w14:paraId="165F7C9A">
      <w:pPr>
        <w:pStyle w:val="35"/>
        <w:rPr>
          <w:color w:val="auto"/>
          <w:highlight w:val="none"/>
        </w:rPr>
      </w:pPr>
    </w:p>
    <w:p w14:paraId="1A03710F">
      <w:pPr>
        <w:pStyle w:val="35"/>
        <w:rPr>
          <w:color w:val="auto"/>
          <w:highlight w:val="none"/>
        </w:rPr>
      </w:pPr>
    </w:p>
    <w:p w14:paraId="6D6C64FF">
      <w:pPr>
        <w:pStyle w:val="35"/>
        <w:rPr>
          <w:color w:val="auto"/>
          <w:highlight w:val="none"/>
        </w:rPr>
      </w:pPr>
    </w:p>
    <w:p w14:paraId="24328BAC">
      <w:pPr>
        <w:pStyle w:val="35"/>
        <w:rPr>
          <w:color w:val="auto"/>
          <w:highlight w:val="none"/>
        </w:rPr>
      </w:pPr>
    </w:p>
    <w:p w14:paraId="122E0D46">
      <w:pPr>
        <w:pStyle w:val="35"/>
        <w:rPr>
          <w:color w:val="auto"/>
          <w:highlight w:val="none"/>
        </w:rPr>
      </w:pPr>
    </w:p>
    <w:p w14:paraId="1A19173F">
      <w:pPr>
        <w:pStyle w:val="35"/>
        <w:rPr>
          <w:color w:val="auto"/>
          <w:highlight w:val="none"/>
        </w:rPr>
      </w:pPr>
    </w:p>
    <w:p w14:paraId="3BC0385B">
      <w:pPr>
        <w:pStyle w:val="35"/>
        <w:rPr>
          <w:color w:val="auto"/>
          <w:highlight w:val="none"/>
        </w:rPr>
      </w:pPr>
    </w:p>
    <w:p w14:paraId="7329FD6A">
      <w:pPr>
        <w:pStyle w:val="35"/>
        <w:rPr>
          <w:color w:val="auto"/>
          <w:highlight w:val="none"/>
        </w:rPr>
      </w:pPr>
    </w:p>
    <w:p w14:paraId="09B30C21">
      <w:pPr>
        <w:pStyle w:val="35"/>
        <w:rPr>
          <w:color w:val="auto"/>
          <w:highlight w:val="none"/>
        </w:rPr>
      </w:pPr>
    </w:p>
    <w:p w14:paraId="25AC0B57">
      <w:pPr>
        <w:pStyle w:val="35"/>
        <w:rPr>
          <w:color w:val="auto"/>
          <w:highlight w:val="none"/>
        </w:rPr>
      </w:pPr>
    </w:p>
    <w:p w14:paraId="383CF6DE">
      <w:pPr>
        <w:pStyle w:val="35"/>
        <w:rPr>
          <w:color w:val="auto"/>
          <w:highlight w:val="none"/>
        </w:rPr>
      </w:pPr>
    </w:p>
    <w:p w14:paraId="39AB1DB7">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41EE8105">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35595BD2">
      <w:pPr>
        <w:adjustRightInd w:val="0"/>
        <w:snapToGrid w:val="0"/>
        <w:spacing w:beforeLines="50" w:line="360" w:lineRule="auto"/>
        <w:ind w:right="23" w:rightChars="11"/>
        <w:jc w:val="center"/>
        <w:outlineLvl w:val="0"/>
        <w:rPr>
          <w:rFonts w:ascii="宋体" w:hAnsi="宋体" w:cs="宋体"/>
          <w:b/>
          <w:color w:val="auto"/>
          <w:sz w:val="32"/>
          <w:szCs w:val="32"/>
          <w:highlight w:val="none"/>
        </w:rPr>
      </w:pPr>
    </w:p>
    <w:p w14:paraId="0690988F">
      <w:pPr>
        <w:adjustRightInd w:val="0"/>
        <w:snapToGrid w:val="0"/>
        <w:spacing w:beforeLines="50" w:line="360" w:lineRule="auto"/>
        <w:ind w:right="23" w:rightChars="11"/>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八、最后报价</w:t>
      </w:r>
    </w:p>
    <w:p w14:paraId="33950D89">
      <w:pPr>
        <w:adjustRightInd w:val="0"/>
        <w:snapToGrid w:val="0"/>
        <w:ind w:left="-88" w:leftChars="-42" w:right="23" w:rightChars="11"/>
        <w:rPr>
          <w:rFonts w:ascii="宋体" w:hAnsi="宋体" w:cs="宋体"/>
          <w:color w:val="auto"/>
          <w:highlight w:val="none"/>
        </w:rPr>
      </w:pPr>
    </w:p>
    <w:p w14:paraId="7A8C3F30">
      <w:pPr>
        <w:adjustRightInd w:val="0"/>
        <w:snapToGrid w:val="0"/>
        <w:ind w:left="-88" w:leftChars="-42" w:right="23" w:rightChars="11"/>
        <w:rPr>
          <w:rFonts w:ascii="宋体" w:hAnsi="宋体" w:cs="宋体"/>
          <w:color w:val="auto"/>
          <w:highlight w:val="none"/>
        </w:rPr>
      </w:pPr>
    </w:p>
    <w:p w14:paraId="7A64B992">
      <w:pPr>
        <w:adjustRightInd w:val="0"/>
        <w:snapToGrid w:val="0"/>
        <w:spacing w:line="360" w:lineRule="auto"/>
        <w:ind w:left="1575" w:leftChars="300" w:right="23" w:rightChars="11" w:hanging="945" w:hangingChars="450"/>
        <w:rPr>
          <w:rFonts w:ascii="宋体" w:hAnsi="宋体" w:cs="宋体"/>
          <w:color w:val="auto"/>
          <w:highlight w:val="none"/>
        </w:rPr>
      </w:pPr>
      <w:r>
        <w:rPr>
          <w:rFonts w:hint="eastAsia" w:ascii="宋体" w:hAnsi="宋体" w:cs="宋体"/>
          <w:color w:val="auto"/>
          <w:highlight w:val="none"/>
        </w:rPr>
        <w:t>说明：1、最后报价需提供报价一览表，格式按附件5。</w:t>
      </w:r>
    </w:p>
    <w:p w14:paraId="10A69BD2">
      <w:pPr>
        <w:adjustRightInd w:val="0"/>
        <w:snapToGrid w:val="0"/>
        <w:spacing w:line="360" w:lineRule="auto"/>
        <w:ind w:right="23" w:rightChars="11" w:firstLine="1260" w:firstLineChars="600"/>
        <w:rPr>
          <w:rFonts w:ascii="宋体" w:hAnsi="宋体" w:cs="宋体"/>
          <w:color w:val="auto"/>
          <w:highlight w:val="none"/>
        </w:rPr>
      </w:pPr>
      <w:r>
        <w:rPr>
          <w:rFonts w:hint="eastAsia" w:ascii="宋体" w:hAnsi="宋体" w:cs="宋体"/>
          <w:color w:val="auto"/>
          <w:highlight w:val="none"/>
        </w:rPr>
        <w:t>2、最后报价表由代理公司在评审现场提供。</w:t>
      </w:r>
    </w:p>
    <w:p w14:paraId="4461A97D">
      <w:pPr>
        <w:widowControl/>
        <w:spacing w:before="100" w:beforeAutospacing="1" w:after="100" w:afterAutospacing="1" w:line="408" w:lineRule="auto"/>
        <w:ind w:right="23" w:rightChars="11"/>
        <w:rPr>
          <w:rFonts w:ascii="宋体" w:hAnsi="宋体" w:cs="宋体"/>
          <w:color w:val="auto"/>
          <w:highlight w:val="none"/>
        </w:rPr>
      </w:pPr>
    </w:p>
    <w:p w14:paraId="3B8B5DC6">
      <w:pPr>
        <w:widowControl/>
        <w:spacing w:before="100" w:beforeAutospacing="1" w:after="100" w:afterAutospacing="1" w:line="408" w:lineRule="auto"/>
        <w:ind w:right="23" w:rightChars="11"/>
        <w:rPr>
          <w:rFonts w:ascii="宋体" w:hAnsi="宋体" w:cs="宋体"/>
          <w:color w:val="auto"/>
          <w:highlight w:val="none"/>
        </w:rPr>
      </w:pPr>
    </w:p>
    <w:p w14:paraId="1EC3468F">
      <w:pPr>
        <w:widowControl/>
        <w:spacing w:before="100" w:beforeAutospacing="1" w:after="100" w:afterAutospacing="1" w:line="408" w:lineRule="auto"/>
        <w:ind w:right="23" w:rightChars="11"/>
        <w:rPr>
          <w:rFonts w:ascii="宋体" w:hAnsi="宋体" w:cs="宋体"/>
          <w:color w:val="auto"/>
          <w:highlight w:val="none"/>
        </w:rPr>
      </w:pPr>
    </w:p>
    <w:p w14:paraId="53209209">
      <w:pPr>
        <w:widowControl/>
        <w:spacing w:before="100" w:beforeAutospacing="1" w:after="100" w:afterAutospacing="1" w:line="408" w:lineRule="auto"/>
        <w:ind w:right="23" w:rightChars="11"/>
        <w:rPr>
          <w:rFonts w:ascii="宋体" w:hAnsi="宋体" w:cs="宋体"/>
          <w:color w:val="auto"/>
          <w:highlight w:val="none"/>
        </w:rPr>
      </w:pPr>
    </w:p>
    <w:p w14:paraId="47AC948A">
      <w:pPr>
        <w:widowControl/>
        <w:spacing w:before="100" w:beforeAutospacing="1" w:after="100" w:afterAutospacing="1" w:line="408" w:lineRule="auto"/>
        <w:ind w:right="23" w:rightChars="11"/>
        <w:rPr>
          <w:rFonts w:ascii="宋体" w:hAnsi="宋体" w:cs="宋体"/>
          <w:color w:val="auto"/>
          <w:highlight w:val="none"/>
        </w:rPr>
      </w:pPr>
    </w:p>
    <w:p w14:paraId="2D77642B">
      <w:pPr>
        <w:widowControl/>
        <w:spacing w:before="100" w:beforeAutospacing="1" w:after="100" w:afterAutospacing="1" w:line="408" w:lineRule="auto"/>
        <w:ind w:right="23" w:rightChars="11"/>
        <w:rPr>
          <w:rFonts w:ascii="宋体" w:hAnsi="宋体" w:cs="宋体"/>
          <w:color w:val="auto"/>
          <w:highlight w:val="none"/>
        </w:rPr>
      </w:pPr>
    </w:p>
    <w:p w14:paraId="1DE19BD0">
      <w:pPr>
        <w:widowControl/>
        <w:spacing w:before="100" w:beforeAutospacing="1" w:after="100" w:afterAutospacing="1" w:line="408" w:lineRule="auto"/>
        <w:ind w:right="23" w:rightChars="11"/>
        <w:rPr>
          <w:rFonts w:ascii="宋体" w:hAnsi="宋体" w:cs="宋体"/>
          <w:color w:val="auto"/>
          <w:highlight w:val="none"/>
        </w:rPr>
      </w:pPr>
    </w:p>
    <w:p w14:paraId="6B1AC9E0">
      <w:pPr>
        <w:widowControl/>
        <w:spacing w:before="100" w:beforeAutospacing="1" w:after="100" w:afterAutospacing="1" w:line="408" w:lineRule="auto"/>
        <w:ind w:right="23" w:rightChars="11"/>
        <w:rPr>
          <w:rFonts w:ascii="宋体" w:hAnsi="宋体" w:cs="宋体"/>
          <w:color w:val="auto"/>
          <w:highlight w:val="none"/>
        </w:rPr>
      </w:pPr>
    </w:p>
    <w:p w14:paraId="03E0E83D">
      <w:pPr>
        <w:widowControl/>
        <w:spacing w:before="100" w:beforeAutospacing="1" w:after="100" w:afterAutospacing="1" w:line="408" w:lineRule="auto"/>
        <w:ind w:right="23" w:rightChars="11"/>
        <w:rPr>
          <w:rFonts w:ascii="宋体" w:hAnsi="宋体" w:cs="宋体"/>
          <w:color w:val="auto"/>
          <w:highlight w:val="none"/>
        </w:rPr>
      </w:pPr>
    </w:p>
    <w:p w14:paraId="7C5B3911">
      <w:pPr>
        <w:widowControl/>
        <w:spacing w:before="100" w:beforeAutospacing="1" w:after="100" w:afterAutospacing="1" w:line="408" w:lineRule="auto"/>
        <w:ind w:right="23" w:rightChars="11"/>
        <w:rPr>
          <w:rFonts w:ascii="宋体" w:hAnsi="宋体" w:cs="宋体"/>
          <w:color w:val="auto"/>
          <w:highlight w:val="none"/>
        </w:rPr>
      </w:pPr>
    </w:p>
    <w:p w14:paraId="22CA4A6F">
      <w:pPr>
        <w:widowControl/>
        <w:spacing w:before="100" w:beforeAutospacing="1" w:after="100" w:afterAutospacing="1" w:line="408" w:lineRule="auto"/>
        <w:ind w:right="23" w:rightChars="11"/>
        <w:rPr>
          <w:rFonts w:ascii="宋体" w:hAnsi="宋体" w:cs="宋体"/>
          <w:color w:val="auto"/>
          <w:highlight w:val="none"/>
        </w:rPr>
      </w:pPr>
    </w:p>
    <w:p w14:paraId="65DCCCE3">
      <w:pPr>
        <w:spacing w:line="480" w:lineRule="exact"/>
        <w:ind w:right="23" w:rightChars="11"/>
        <w:jc w:val="center"/>
        <w:rPr>
          <w:rFonts w:ascii="宋体" w:hAnsi="宋体" w:cs="宋体"/>
          <w:b/>
          <w:bCs/>
          <w:color w:val="auto"/>
          <w:sz w:val="28"/>
          <w:szCs w:val="28"/>
          <w:highlight w:val="none"/>
        </w:rPr>
      </w:pPr>
    </w:p>
    <w:p w14:paraId="190414F0">
      <w:pPr>
        <w:spacing w:line="480" w:lineRule="exact"/>
        <w:ind w:right="23" w:rightChars="11"/>
        <w:jc w:val="center"/>
        <w:rPr>
          <w:rFonts w:ascii="宋体" w:hAnsi="宋体" w:cs="宋体"/>
          <w:b/>
          <w:bCs/>
          <w:color w:val="auto"/>
          <w:sz w:val="28"/>
          <w:szCs w:val="28"/>
          <w:highlight w:val="none"/>
        </w:rPr>
      </w:pPr>
    </w:p>
    <w:p w14:paraId="3A5ED59C">
      <w:pPr>
        <w:adjustRightInd w:val="0"/>
        <w:snapToGrid w:val="0"/>
        <w:ind w:right="23" w:rightChars="11"/>
        <w:rPr>
          <w:rFonts w:ascii="宋体" w:hAnsi="宋体" w:cs="宋体"/>
          <w:b/>
          <w:color w:val="auto"/>
          <w:sz w:val="24"/>
          <w:highlight w:val="none"/>
        </w:rPr>
      </w:pPr>
    </w:p>
    <w:p w14:paraId="5652A609">
      <w:pPr>
        <w:spacing w:line="360" w:lineRule="exact"/>
        <w:ind w:firstLine="3547" w:firstLineChars="1104"/>
        <w:rPr>
          <w:rFonts w:ascii="宋体" w:hAnsi="宋体" w:cs="宋体"/>
          <w:b/>
          <w:bCs/>
          <w:color w:val="auto"/>
          <w:sz w:val="32"/>
          <w:szCs w:val="32"/>
          <w:highlight w:val="none"/>
        </w:rPr>
      </w:pPr>
    </w:p>
    <w:sectPr>
      <w:pgSz w:w="11906" w:h="16838"/>
      <w:pgMar w:top="851" w:right="991" w:bottom="851"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Times New Roman"/>
    <w:panose1 w:val="00000000000000000000"/>
    <w:charset w:val="00"/>
    <w:family w:val="auto"/>
    <w:pitch w:val="default"/>
    <w:sig w:usb0="00000000" w:usb1="00000000" w:usb2="00000000" w:usb3="00000000" w:csb0="00000001" w:csb1="00000000"/>
  </w:font>
  <w:font w:name="KaiTi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FED6">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13BD">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43426"/>
    </w:sdtPr>
    <w:sdtContent>
      <w:p w14:paraId="53B986D8">
        <w:pPr>
          <w:pStyle w:val="15"/>
          <w:jc w:val="center"/>
        </w:pPr>
        <w:r>
          <w:fldChar w:fldCharType="begin"/>
        </w:r>
        <w:r>
          <w:instrText xml:space="preserve"> PAGE   \* MERGEFORMAT </w:instrText>
        </w:r>
        <w:r>
          <w:fldChar w:fldCharType="separate"/>
        </w:r>
        <w:r>
          <w:rPr>
            <w:lang w:val="zh-CN"/>
          </w:rPr>
          <w:t>38</w:t>
        </w:r>
        <w:r>
          <w:rPr>
            <w:lang w:val="zh-CN"/>
          </w:rPr>
          <w:fldChar w:fldCharType="end"/>
        </w:r>
      </w:p>
    </w:sdtContent>
  </w:sdt>
  <w:p w14:paraId="6FC9F3DC">
    <w:pPr>
      <w:pStyle w:val="15"/>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24648"/>
    <w:multiLevelType w:val="singleLevel"/>
    <w:tmpl w:val="7912464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DQ3M2ZmN2U2MmJmODQwOTI2YmI5NTdiNTFhZDcifQ=="/>
    <w:docVar w:name="KSO_WPS_MARK_KEY" w:val="267c0c90-d1b1-4e4b-b578-451965949dc0"/>
  </w:docVars>
  <w:rsids>
    <w:rsidRoot w:val="4967698D"/>
    <w:rsid w:val="000071CB"/>
    <w:rsid w:val="0001188E"/>
    <w:rsid w:val="000135D4"/>
    <w:rsid w:val="00017330"/>
    <w:rsid w:val="00020F2F"/>
    <w:rsid w:val="00035648"/>
    <w:rsid w:val="00043CDC"/>
    <w:rsid w:val="000447F6"/>
    <w:rsid w:val="000500A6"/>
    <w:rsid w:val="0005567F"/>
    <w:rsid w:val="00064702"/>
    <w:rsid w:val="000648A4"/>
    <w:rsid w:val="00066819"/>
    <w:rsid w:val="00073A7D"/>
    <w:rsid w:val="00074CC0"/>
    <w:rsid w:val="00077E19"/>
    <w:rsid w:val="00080768"/>
    <w:rsid w:val="0008606B"/>
    <w:rsid w:val="000877A7"/>
    <w:rsid w:val="000A3517"/>
    <w:rsid w:val="000A61A4"/>
    <w:rsid w:val="000B0793"/>
    <w:rsid w:val="000B20CA"/>
    <w:rsid w:val="000B5BE1"/>
    <w:rsid w:val="000C06F6"/>
    <w:rsid w:val="000C59B0"/>
    <w:rsid w:val="000D04B9"/>
    <w:rsid w:val="000D34E3"/>
    <w:rsid w:val="000D543A"/>
    <w:rsid w:val="000E1C00"/>
    <w:rsid w:val="000E2B21"/>
    <w:rsid w:val="000F7F4C"/>
    <w:rsid w:val="001017BA"/>
    <w:rsid w:val="0011078C"/>
    <w:rsid w:val="001112A4"/>
    <w:rsid w:val="0012133D"/>
    <w:rsid w:val="00126A0F"/>
    <w:rsid w:val="00126C2B"/>
    <w:rsid w:val="00126CC6"/>
    <w:rsid w:val="00130592"/>
    <w:rsid w:val="00133E7F"/>
    <w:rsid w:val="001342A3"/>
    <w:rsid w:val="00135C13"/>
    <w:rsid w:val="00145C22"/>
    <w:rsid w:val="00146195"/>
    <w:rsid w:val="00147B6E"/>
    <w:rsid w:val="001530B1"/>
    <w:rsid w:val="001571E3"/>
    <w:rsid w:val="00160B89"/>
    <w:rsid w:val="00161234"/>
    <w:rsid w:val="00166571"/>
    <w:rsid w:val="00182064"/>
    <w:rsid w:val="0019346C"/>
    <w:rsid w:val="001A13B4"/>
    <w:rsid w:val="001A1EA9"/>
    <w:rsid w:val="001A42FB"/>
    <w:rsid w:val="001A79F8"/>
    <w:rsid w:val="001B1484"/>
    <w:rsid w:val="001B4D15"/>
    <w:rsid w:val="001B5B0E"/>
    <w:rsid w:val="001C0373"/>
    <w:rsid w:val="001C3E2D"/>
    <w:rsid w:val="001C46BD"/>
    <w:rsid w:val="001C6041"/>
    <w:rsid w:val="001C778F"/>
    <w:rsid w:val="001D41BD"/>
    <w:rsid w:val="001D6FA3"/>
    <w:rsid w:val="001E1B32"/>
    <w:rsid w:val="001E48D3"/>
    <w:rsid w:val="001E54A1"/>
    <w:rsid w:val="001E5E62"/>
    <w:rsid w:val="001F674B"/>
    <w:rsid w:val="00206A4E"/>
    <w:rsid w:val="002123A6"/>
    <w:rsid w:val="00212825"/>
    <w:rsid w:val="002133AD"/>
    <w:rsid w:val="002142E9"/>
    <w:rsid w:val="002143AD"/>
    <w:rsid w:val="00225310"/>
    <w:rsid w:val="002272BF"/>
    <w:rsid w:val="00230CEF"/>
    <w:rsid w:val="00231FF4"/>
    <w:rsid w:val="0023437B"/>
    <w:rsid w:val="00234969"/>
    <w:rsid w:val="00235A7D"/>
    <w:rsid w:val="00244EA8"/>
    <w:rsid w:val="00244F05"/>
    <w:rsid w:val="002509F9"/>
    <w:rsid w:val="00250C16"/>
    <w:rsid w:val="002638D8"/>
    <w:rsid w:val="00265FA9"/>
    <w:rsid w:val="00267A01"/>
    <w:rsid w:val="0027412F"/>
    <w:rsid w:val="00280A71"/>
    <w:rsid w:val="002825B5"/>
    <w:rsid w:val="00283C57"/>
    <w:rsid w:val="0029414D"/>
    <w:rsid w:val="002A36BE"/>
    <w:rsid w:val="002A4CF2"/>
    <w:rsid w:val="002A6C8A"/>
    <w:rsid w:val="002B01D7"/>
    <w:rsid w:val="002B0DED"/>
    <w:rsid w:val="002B15DC"/>
    <w:rsid w:val="002E0E26"/>
    <w:rsid w:val="002E2130"/>
    <w:rsid w:val="002E7508"/>
    <w:rsid w:val="002F1027"/>
    <w:rsid w:val="00301F64"/>
    <w:rsid w:val="003219B1"/>
    <w:rsid w:val="00324C0E"/>
    <w:rsid w:val="003335A3"/>
    <w:rsid w:val="00334863"/>
    <w:rsid w:val="0033586C"/>
    <w:rsid w:val="00340744"/>
    <w:rsid w:val="003569A8"/>
    <w:rsid w:val="003604B2"/>
    <w:rsid w:val="00370CAE"/>
    <w:rsid w:val="00381857"/>
    <w:rsid w:val="003837BE"/>
    <w:rsid w:val="0039526C"/>
    <w:rsid w:val="003B3E62"/>
    <w:rsid w:val="003B53AF"/>
    <w:rsid w:val="003B5EFE"/>
    <w:rsid w:val="003B76C1"/>
    <w:rsid w:val="003C212B"/>
    <w:rsid w:val="003D1BB9"/>
    <w:rsid w:val="003E1B45"/>
    <w:rsid w:val="003E4E79"/>
    <w:rsid w:val="003F0E0C"/>
    <w:rsid w:val="003F6F8C"/>
    <w:rsid w:val="00400422"/>
    <w:rsid w:val="00403B47"/>
    <w:rsid w:val="00406264"/>
    <w:rsid w:val="00407B52"/>
    <w:rsid w:val="004100FB"/>
    <w:rsid w:val="00412B3D"/>
    <w:rsid w:val="00417F1E"/>
    <w:rsid w:val="0043424A"/>
    <w:rsid w:val="004348B6"/>
    <w:rsid w:val="00441018"/>
    <w:rsid w:val="004412A8"/>
    <w:rsid w:val="00441398"/>
    <w:rsid w:val="0044487B"/>
    <w:rsid w:val="004556CF"/>
    <w:rsid w:val="00465013"/>
    <w:rsid w:val="00467B9B"/>
    <w:rsid w:val="00472D91"/>
    <w:rsid w:val="00474D1F"/>
    <w:rsid w:val="00477E27"/>
    <w:rsid w:val="00480671"/>
    <w:rsid w:val="00480A14"/>
    <w:rsid w:val="00494FCC"/>
    <w:rsid w:val="004A434A"/>
    <w:rsid w:val="004B089B"/>
    <w:rsid w:val="004B4BFA"/>
    <w:rsid w:val="004B5E08"/>
    <w:rsid w:val="004C1353"/>
    <w:rsid w:val="004C1D37"/>
    <w:rsid w:val="004D1110"/>
    <w:rsid w:val="004D4786"/>
    <w:rsid w:val="004F1BF2"/>
    <w:rsid w:val="004F44ED"/>
    <w:rsid w:val="004F7111"/>
    <w:rsid w:val="00503E3C"/>
    <w:rsid w:val="005122A8"/>
    <w:rsid w:val="005175F6"/>
    <w:rsid w:val="00517919"/>
    <w:rsid w:val="00520FE7"/>
    <w:rsid w:val="00527B3B"/>
    <w:rsid w:val="00530946"/>
    <w:rsid w:val="00531CC3"/>
    <w:rsid w:val="00534AAD"/>
    <w:rsid w:val="00546CA2"/>
    <w:rsid w:val="0055105B"/>
    <w:rsid w:val="00552129"/>
    <w:rsid w:val="00555F1D"/>
    <w:rsid w:val="00557402"/>
    <w:rsid w:val="005622BF"/>
    <w:rsid w:val="00563604"/>
    <w:rsid w:val="005769B0"/>
    <w:rsid w:val="00577C2C"/>
    <w:rsid w:val="005822D3"/>
    <w:rsid w:val="00583B00"/>
    <w:rsid w:val="00584293"/>
    <w:rsid w:val="00597786"/>
    <w:rsid w:val="00597B63"/>
    <w:rsid w:val="005A0112"/>
    <w:rsid w:val="005B1642"/>
    <w:rsid w:val="005C4828"/>
    <w:rsid w:val="005C5403"/>
    <w:rsid w:val="005D5BED"/>
    <w:rsid w:val="005E1BA9"/>
    <w:rsid w:val="005E5722"/>
    <w:rsid w:val="005E6683"/>
    <w:rsid w:val="005F0F26"/>
    <w:rsid w:val="005F4E0F"/>
    <w:rsid w:val="00602449"/>
    <w:rsid w:val="00603664"/>
    <w:rsid w:val="00605A36"/>
    <w:rsid w:val="00605D6D"/>
    <w:rsid w:val="00615F6A"/>
    <w:rsid w:val="00617744"/>
    <w:rsid w:val="006219F9"/>
    <w:rsid w:val="00626F5C"/>
    <w:rsid w:val="00626F8F"/>
    <w:rsid w:val="00630297"/>
    <w:rsid w:val="00631E3D"/>
    <w:rsid w:val="0064652F"/>
    <w:rsid w:val="00651359"/>
    <w:rsid w:val="006553CB"/>
    <w:rsid w:val="00655EAC"/>
    <w:rsid w:val="0065694E"/>
    <w:rsid w:val="00656A65"/>
    <w:rsid w:val="006623E4"/>
    <w:rsid w:val="00665C19"/>
    <w:rsid w:val="006700FF"/>
    <w:rsid w:val="006734B3"/>
    <w:rsid w:val="0067608D"/>
    <w:rsid w:val="00682851"/>
    <w:rsid w:val="00683BA8"/>
    <w:rsid w:val="00683E89"/>
    <w:rsid w:val="00693FBB"/>
    <w:rsid w:val="006946F0"/>
    <w:rsid w:val="0069515B"/>
    <w:rsid w:val="0069525C"/>
    <w:rsid w:val="006A0578"/>
    <w:rsid w:val="006A3627"/>
    <w:rsid w:val="006A38DB"/>
    <w:rsid w:val="006C6A56"/>
    <w:rsid w:val="006D1B46"/>
    <w:rsid w:val="006D77E1"/>
    <w:rsid w:val="006D7B79"/>
    <w:rsid w:val="006E1F5E"/>
    <w:rsid w:val="006F4BEB"/>
    <w:rsid w:val="006F4EA9"/>
    <w:rsid w:val="00706F86"/>
    <w:rsid w:val="007137F9"/>
    <w:rsid w:val="007173A5"/>
    <w:rsid w:val="00722050"/>
    <w:rsid w:val="00726580"/>
    <w:rsid w:val="00731B81"/>
    <w:rsid w:val="007519A2"/>
    <w:rsid w:val="00765FB8"/>
    <w:rsid w:val="00766035"/>
    <w:rsid w:val="007676B4"/>
    <w:rsid w:val="0077013F"/>
    <w:rsid w:val="00780835"/>
    <w:rsid w:val="00780FC2"/>
    <w:rsid w:val="0078194B"/>
    <w:rsid w:val="007837E7"/>
    <w:rsid w:val="007856BB"/>
    <w:rsid w:val="00785ECF"/>
    <w:rsid w:val="00787E4B"/>
    <w:rsid w:val="00794B83"/>
    <w:rsid w:val="00797123"/>
    <w:rsid w:val="007A42EB"/>
    <w:rsid w:val="007A66ED"/>
    <w:rsid w:val="007B05CF"/>
    <w:rsid w:val="007B0D2F"/>
    <w:rsid w:val="007B6DD7"/>
    <w:rsid w:val="007C6DA9"/>
    <w:rsid w:val="007C70F5"/>
    <w:rsid w:val="007D1FB0"/>
    <w:rsid w:val="007D2708"/>
    <w:rsid w:val="007D6BFB"/>
    <w:rsid w:val="007E2115"/>
    <w:rsid w:val="007E7ED1"/>
    <w:rsid w:val="007F5067"/>
    <w:rsid w:val="008002C8"/>
    <w:rsid w:val="00805A79"/>
    <w:rsid w:val="0081623B"/>
    <w:rsid w:val="00823B0E"/>
    <w:rsid w:val="00844F8C"/>
    <w:rsid w:val="00852204"/>
    <w:rsid w:val="00854B28"/>
    <w:rsid w:val="00854B88"/>
    <w:rsid w:val="008572D7"/>
    <w:rsid w:val="00861003"/>
    <w:rsid w:val="00865782"/>
    <w:rsid w:val="00872B68"/>
    <w:rsid w:val="00874E4A"/>
    <w:rsid w:val="008928AE"/>
    <w:rsid w:val="00896333"/>
    <w:rsid w:val="00896B8F"/>
    <w:rsid w:val="008B6C86"/>
    <w:rsid w:val="008C1185"/>
    <w:rsid w:val="008D346F"/>
    <w:rsid w:val="008D68D4"/>
    <w:rsid w:val="008E5416"/>
    <w:rsid w:val="008F21C4"/>
    <w:rsid w:val="00905690"/>
    <w:rsid w:val="00905793"/>
    <w:rsid w:val="009233B5"/>
    <w:rsid w:val="009352F5"/>
    <w:rsid w:val="00935BB7"/>
    <w:rsid w:val="00942DC1"/>
    <w:rsid w:val="009436C0"/>
    <w:rsid w:val="00945E37"/>
    <w:rsid w:val="009507A5"/>
    <w:rsid w:val="00954B43"/>
    <w:rsid w:val="009561BD"/>
    <w:rsid w:val="00960DA1"/>
    <w:rsid w:val="00960E03"/>
    <w:rsid w:val="009677AD"/>
    <w:rsid w:val="0097584B"/>
    <w:rsid w:val="009901CB"/>
    <w:rsid w:val="0099218C"/>
    <w:rsid w:val="00992634"/>
    <w:rsid w:val="009A33A0"/>
    <w:rsid w:val="009B080C"/>
    <w:rsid w:val="009B37D6"/>
    <w:rsid w:val="009B5234"/>
    <w:rsid w:val="009B56A6"/>
    <w:rsid w:val="009B5981"/>
    <w:rsid w:val="009B7507"/>
    <w:rsid w:val="009B782B"/>
    <w:rsid w:val="009C7FEC"/>
    <w:rsid w:val="009D2920"/>
    <w:rsid w:val="009D3BB2"/>
    <w:rsid w:val="009E4863"/>
    <w:rsid w:val="009E706B"/>
    <w:rsid w:val="009F33E1"/>
    <w:rsid w:val="009F50C2"/>
    <w:rsid w:val="009F7949"/>
    <w:rsid w:val="00A02271"/>
    <w:rsid w:val="00A03F4B"/>
    <w:rsid w:val="00A04D53"/>
    <w:rsid w:val="00A13119"/>
    <w:rsid w:val="00A136AD"/>
    <w:rsid w:val="00A2040B"/>
    <w:rsid w:val="00A30DF1"/>
    <w:rsid w:val="00A31398"/>
    <w:rsid w:val="00A3414F"/>
    <w:rsid w:val="00A36B77"/>
    <w:rsid w:val="00A43314"/>
    <w:rsid w:val="00A43FB7"/>
    <w:rsid w:val="00A45C2E"/>
    <w:rsid w:val="00A46360"/>
    <w:rsid w:val="00A46BC0"/>
    <w:rsid w:val="00A51B88"/>
    <w:rsid w:val="00A52672"/>
    <w:rsid w:val="00A53A53"/>
    <w:rsid w:val="00A54381"/>
    <w:rsid w:val="00A60283"/>
    <w:rsid w:val="00A627BA"/>
    <w:rsid w:val="00A65A36"/>
    <w:rsid w:val="00A66C1B"/>
    <w:rsid w:val="00A72B12"/>
    <w:rsid w:val="00A735B9"/>
    <w:rsid w:val="00A73BD3"/>
    <w:rsid w:val="00A80400"/>
    <w:rsid w:val="00A83373"/>
    <w:rsid w:val="00A84952"/>
    <w:rsid w:val="00A87A2E"/>
    <w:rsid w:val="00A91990"/>
    <w:rsid w:val="00A9706E"/>
    <w:rsid w:val="00AA2F54"/>
    <w:rsid w:val="00AA4B44"/>
    <w:rsid w:val="00AA5221"/>
    <w:rsid w:val="00AB43E8"/>
    <w:rsid w:val="00AB4D35"/>
    <w:rsid w:val="00AB5423"/>
    <w:rsid w:val="00AB78E9"/>
    <w:rsid w:val="00AC00EC"/>
    <w:rsid w:val="00AC2EE0"/>
    <w:rsid w:val="00AC640B"/>
    <w:rsid w:val="00AC73F8"/>
    <w:rsid w:val="00AD6802"/>
    <w:rsid w:val="00AE07E0"/>
    <w:rsid w:val="00AE0FC1"/>
    <w:rsid w:val="00AE27D3"/>
    <w:rsid w:val="00AF0A18"/>
    <w:rsid w:val="00B00058"/>
    <w:rsid w:val="00B15DA6"/>
    <w:rsid w:val="00B249C4"/>
    <w:rsid w:val="00B35B40"/>
    <w:rsid w:val="00B35F27"/>
    <w:rsid w:val="00B40CBC"/>
    <w:rsid w:val="00B64A25"/>
    <w:rsid w:val="00B65A08"/>
    <w:rsid w:val="00B942D1"/>
    <w:rsid w:val="00BA213D"/>
    <w:rsid w:val="00BA6248"/>
    <w:rsid w:val="00BA69AE"/>
    <w:rsid w:val="00BB315A"/>
    <w:rsid w:val="00BB44F6"/>
    <w:rsid w:val="00BB5D66"/>
    <w:rsid w:val="00BC02B2"/>
    <w:rsid w:val="00BC192C"/>
    <w:rsid w:val="00BD0323"/>
    <w:rsid w:val="00BD1DBF"/>
    <w:rsid w:val="00BD30F3"/>
    <w:rsid w:val="00BD688E"/>
    <w:rsid w:val="00BE0EE2"/>
    <w:rsid w:val="00BE7C0E"/>
    <w:rsid w:val="00BF1705"/>
    <w:rsid w:val="00BF5FDC"/>
    <w:rsid w:val="00BF6EA0"/>
    <w:rsid w:val="00C123C5"/>
    <w:rsid w:val="00C156C8"/>
    <w:rsid w:val="00C24AD6"/>
    <w:rsid w:val="00C254B5"/>
    <w:rsid w:val="00C31C2A"/>
    <w:rsid w:val="00C31DB9"/>
    <w:rsid w:val="00C329EB"/>
    <w:rsid w:val="00C32E1D"/>
    <w:rsid w:val="00C33B0E"/>
    <w:rsid w:val="00C34C0C"/>
    <w:rsid w:val="00C37A12"/>
    <w:rsid w:val="00C41C2A"/>
    <w:rsid w:val="00C430EF"/>
    <w:rsid w:val="00C535B5"/>
    <w:rsid w:val="00C6076A"/>
    <w:rsid w:val="00C65230"/>
    <w:rsid w:val="00C66766"/>
    <w:rsid w:val="00C67130"/>
    <w:rsid w:val="00C704DC"/>
    <w:rsid w:val="00C71080"/>
    <w:rsid w:val="00C84841"/>
    <w:rsid w:val="00C86484"/>
    <w:rsid w:val="00C96434"/>
    <w:rsid w:val="00CA3BC5"/>
    <w:rsid w:val="00CA4ED5"/>
    <w:rsid w:val="00CB5F03"/>
    <w:rsid w:val="00CC6CB6"/>
    <w:rsid w:val="00CD6F11"/>
    <w:rsid w:val="00CD7665"/>
    <w:rsid w:val="00CE5199"/>
    <w:rsid w:val="00CE656A"/>
    <w:rsid w:val="00CF0C5B"/>
    <w:rsid w:val="00CF0FF6"/>
    <w:rsid w:val="00D0155E"/>
    <w:rsid w:val="00D03654"/>
    <w:rsid w:val="00D075DE"/>
    <w:rsid w:val="00D129B9"/>
    <w:rsid w:val="00D1552F"/>
    <w:rsid w:val="00D20F41"/>
    <w:rsid w:val="00D21048"/>
    <w:rsid w:val="00D23431"/>
    <w:rsid w:val="00D26EA3"/>
    <w:rsid w:val="00D416B1"/>
    <w:rsid w:val="00D50F73"/>
    <w:rsid w:val="00D53044"/>
    <w:rsid w:val="00D65559"/>
    <w:rsid w:val="00D7258B"/>
    <w:rsid w:val="00D7517F"/>
    <w:rsid w:val="00DA0781"/>
    <w:rsid w:val="00DA14B8"/>
    <w:rsid w:val="00DA2F1E"/>
    <w:rsid w:val="00DA5627"/>
    <w:rsid w:val="00DD4165"/>
    <w:rsid w:val="00DD764B"/>
    <w:rsid w:val="00DE4288"/>
    <w:rsid w:val="00DE6944"/>
    <w:rsid w:val="00DE6F49"/>
    <w:rsid w:val="00DE7B93"/>
    <w:rsid w:val="00DF0AE8"/>
    <w:rsid w:val="00DF3BDF"/>
    <w:rsid w:val="00DF7123"/>
    <w:rsid w:val="00E13F5D"/>
    <w:rsid w:val="00E15C55"/>
    <w:rsid w:val="00E25E38"/>
    <w:rsid w:val="00E27B73"/>
    <w:rsid w:val="00E33915"/>
    <w:rsid w:val="00E40C22"/>
    <w:rsid w:val="00E46706"/>
    <w:rsid w:val="00E50C7E"/>
    <w:rsid w:val="00E56AFF"/>
    <w:rsid w:val="00E601B3"/>
    <w:rsid w:val="00E61E9B"/>
    <w:rsid w:val="00E66AFE"/>
    <w:rsid w:val="00E742E5"/>
    <w:rsid w:val="00E7571C"/>
    <w:rsid w:val="00E806FC"/>
    <w:rsid w:val="00E8250A"/>
    <w:rsid w:val="00E91992"/>
    <w:rsid w:val="00E932E9"/>
    <w:rsid w:val="00EA2AAC"/>
    <w:rsid w:val="00EA6210"/>
    <w:rsid w:val="00EB5475"/>
    <w:rsid w:val="00EC35FD"/>
    <w:rsid w:val="00EC49DB"/>
    <w:rsid w:val="00EC7F02"/>
    <w:rsid w:val="00ED322E"/>
    <w:rsid w:val="00EE3A7A"/>
    <w:rsid w:val="00EE7FC9"/>
    <w:rsid w:val="00EF2DC6"/>
    <w:rsid w:val="00EF2E1D"/>
    <w:rsid w:val="00EF3EF7"/>
    <w:rsid w:val="00EF4A9A"/>
    <w:rsid w:val="00EF7A85"/>
    <w:rsid w:val="00F008BF"/>
    <w:rsid w:val="00F00A39"/>
    <w:rsid w:val="00F018D7"/>
    <w:rsid w:val="00F02669"/>
    <w:rsid w:val="00F139BE"/>
    <w:rsid w:val="00F176FD"/>
    <w:rsid w:val="00F20110"/>
    <w:rsid w:val="00F21ADC"/>
    <w:rsid w:val="00F229E8"/>
    <w:rsid w:val="00F24CEB"/>
    <w:rsid w:val="00F265E8"/>
    <w:rsid w:val="00F26E45"/>
    <w:rsid w:val="00F31612"/>
    <w:rsid w:val="00F32634"/>
    <w:rsid w:val="00F3322C"/>
    <w:rsid w:val="00F412AD"/>
    <w:rsid w:val="00F57723"/>
    <w:rsid w:val="00F61F2A"/>
    <w:rsid w:val="00F64141"/>
    <w:rsid w:val="00F67324"/>
    <w:rsid w:val="00F924D2"/>
    <w:rsid w:val="00F92601"/>
    <w:rsid w:val="00FA01F0"/>
    <w:rsid w:val="00FA7DAF"/>
    <w:rsid w:val="00FB5D28"/>
    <w:rsid w:val="00FC0FB3"/>
    <w:rsid w:val="00FC6D0A"/>
    <w:rsid w:val="00FD64A9"/>
    <w:rsid w:val="00FD6D68"/>
    <w:rsid w:val="00FE4194"/>
    <w:rsid w:val="00FE60A5"/>
    <w:rsid w:val="00FF334A"/>
    <w:rsid w:val="00FF4BDB"/>
    <w:rsid w:val="00FF4D3A"/>
    <w:rsid w:val="01307CE7"/>
    <w:rsid w:val="0174010E"/>
    <w:rsid w:val="019C0925"/>
    <w:rsid w:val="01C12AAB"/>
    <w:rsid w:val="024741E6"/>
    <w:rsid w:val="03EA2651"/>
    <w:rsid w:val="03F65DBA"/>
    <w:rsid w:val="03FB4C74"/>
    <w:rsid w:val="040D362F"/>
    <w:rsid w:val="04116C43"/>
    <w:rsid w:val="05313D9F"/>
    <w:rsid w:val="05371286"/>
    <w:rsid w:val="056810A9"/>
    <w:rsid w:val="06B331CE"/>
    <w:rsid w:val="06B92AFD"/>
    <w:rsid w:val="074E2D3B"/>
    <w:rsid w:val="07507BBE"/>
    <w:rsid w:val="08506711"/>
    <w:rsid w:val="085457A4"/>
    <w:rsid w:val="08AB454C"/>
    <w:rsid w:val="08EA10A3"/>
    <w:rsid w:val="09334CA3"/>
    <w:rsid w:val="097529BD"/>
    <w:rsid w:val="09B30D6A"/>
    <w:rsid w:val="0A6826F7"/>
    <w:rsid w:val="0A8D6D24"/>
    <w:rsid w:val="0B2D21BD"/>
    <w:rsid w:val="0B350896"/>
    <w:rsid w:val="0BDE001A"/>
    <w:rsid w:val="0C11515F"/>
    <w:rsid w:val="0C4320DB"/>
    <w:rsid w:val="0C8F16FD"/>
    <w:rsid w:val="0CB243D6"/>
    <w:rsid w:val="0CCC2E72"/>
    <w:rsid w:val="0CF167FE"/>
    <w:rsid w:val="0D411534"/>
    <w:rsid w:val="0D470B14"/>
    <w:rsid w:val="0D8A03AB"/>
    <w:rsid w:val="0E896DEE"/>
    <w:rsid w:val="10EC5EC9"/>
    <w:rsid w:val="114C00D7"/>
    <w:rsid w:val="11B418E5"/>
    <w:rsid w:val="11C97D49"/>
    <w:rsid w:val="125C7398"/>
    <w:rsid w:val="136A69B8"/>
    <w:rsid w:val="15D8329A"/>
    <w:rsid w:val="164D2652"/>
    <w:rsid w:val="17AE0C93"/>
    <w:rsid w:val="17B30F58"/>
    <w:rsid w:val="17FC2C1A"/>
    <w:rsid w:val="180C618B"/>
    <w:rsid w:val="181F2058"/>
    <w:rsid w:val="18272ACA"/>
    <w:rsid w:val="183649B6"/>
    <w:rsid w:val="195B6BA5"/>
    <w:rsid w:val="197326DE"/>
    <w:rsid w:val="1A566C7D"/>
    <w:rsid w:val="1B9226A3"/>
    <w:rsid w:val="1D1C1AFA"/>
    <w:rsid w:val="1DA15743"/>
    <w:rsid w:val="1E4E229E"/>
    <w:rsid w:val="1EBC438C"/>
    <w:rsid w:val="1EF42220"/>
    <w:rsid w:val="1FBA7366"/>
    <w:rsid w:val="20600B41"/>
    <w:rsid w:val="21293E23"/>
    <w:rsid w:val="2137182E"/>
    <w:rsid w:val="218328F1"/>
    <w:rsid w:val="21836894"/>
    <w:rsid w:val="21DA7CA7"/>
    <w:rsid w:val="21F63316"/>
    <w:rsid w:val="21F94F4E"/>
    <w:rsid w:val="21FE630A"/>
    <w:rsid w:val="2358363B"/>
    <w:rsid w:val="24FD1978"/>
    <w:rsid w:val="25BB4715"/>
    <w:rsid w:val="25D521C4"/>
    <w:rsid w:val="260131EA"/>
    <w:rsid w:val="26CC5EBA"/>
    <w:rsid w:val="2722776F"/>
    <w:rsid w:val="276F0333"/>
    <w:rsid w:val="277A1824"/>
    <w:rsid w:val="27B801ED"/>
    <w:rsid w:val="28485E34"/>
    <w:rsid w:val="28B24A74"/>
    <w:rsid w:val="2B2433FD"/>
    <w:rsid w:val="2B25000F"/>
    <w:rsid w:val="2B55498F"/>
    <w:rsid w:val="2B6A11E4"/>
    <w:rsid w:val="2C365CCA"/>
    <w:rsid w:val="2C65164B"/>
    <w:rsid w:val="2C966336"/>
    <w:rsid w:val="2D186C40"/>
    <w:rsid w:val="2D5A02CA"/>
    <w:rsid w:val="2D9C672C"/>
    <w:rsid w:val="2DDA2E02"/>
    <w:rsid w:val="2E3D5918"/>
    <w:rsid w:val="2E82464C"/>
    <w:rsid w:val="2EB3196F"/>
    <w:rsid w:val="2EF94FD2"/>
    <w:rsid w:val="2F7B2102"/>
    <w:rsid w:val="30877E49"/>
    <w:rsid w:val="30D657BD"/>
    <w:rsid w:val="322B530D"/>
    <w:rsid w:val="32D13B05"/>
    <w:rsid w:val="32E54D0A"/>
    <w:rsid w:val="33447779"/>
    <w:rsid w:val="3570656E"/>
    <w:rsid w:val="35B22620"/>
    <w:rsid w:val="363C79AC"/>
    <w:rsid w:val="371329FF"/>
    <w:rsid w:val="37F22436"/>
    <w:rsid w:val="38A1621D"/>
    <w:rsid w:val="38AA0783"/>
    <w:rsid w:val="38BB5AFD"/>
    <w:rsid w:val="38FF62F6"/>
    <w:rsid w:val="39687B07"/>
    <w:rsid w:val="397D64F9"/>
    <w:rsid w:val="398273A2"/>
    <w:rsid w:val="3A9716B0"/>
    <w:rsid w:val="3AB37CBD"/>
    <w:rsid w:val="3BDC6786"/>
    <w:rsid w:val="3BE55B93"/>
    <w:rsid w:val="3C3C0F95"/>
    <w:rsid w:val="3C3F0A10"/>
    <w:rsid w:val="3C8E7E17"/>
    <w:rsid w:val="3CF4004B"/>
    <w:rsid w:val="3D1E0719"/>
    <w:rsid w:val="3D2E593F"/>
    <w:rsid w:val="3DCB4253"/>
    <w:rsid w:val="3E366BF9"/>
    <w:rsid w:val="3EBF702C"/>
    <w:rsid w:val="3EC2330E"/>
    <w:rsid w:val="3F650802"/>
    <w:rsid w:val="3FD23E06"/>
    <w:rsid w:val="40095632"/>
    <w:rsid w:val="411C3914"/>
    <w:rsid w:val="41941DBC"/>
    <w:rsid w:val="41D96C1F"/>
    <w:rsid w:val="422549B8"/>
    <w:rsid w:val="42D566A4"/>
    <w:rsid w:val="432E4FCC"/>
    <w:rsid w:val="43600747"/>
    <w:rsid w:val="437F62EF"/>
    <w:rsid w:val="44001061"/>
    <w:rsid w:val="44406889"/>
    <w:rsid w:val="4478241A"/>
    <w:rsid w:val="44F412CF"/>
    <w:rsid w:val="456D6C19"/>
    <w:rsid w:val="46223085"/>
    <w:rsid w:val="462A05B7"/>
    <w:rsid w:val="47010D68"/>
    <w:rsid w:val="4719749F"/>
    <w:rsid w:val="482D63C3"/>
    <w:rsid w:val="48CE59EC"/>
    <w:rsid w:val="48EC06B2"/>
    <w:rsid w:val="4922734D"/>
    <w:rsid w:val="4967698D"/>
    <w:rsid w:val="499654A3"/>
    <w:rsid w:val="49A81A17"/>
    <w:rsid w:val="49AA271A"/>
    <w:rsid w:val="49D12F54"/>
    <w:rsid w:val="4A9B7199"/>
    <w:rsid w:val="4B047D10"/>
    <w:rsid w:val="4B190D71"/>
    <w:rsid w:val="4D267823"/>
    <w:rsid w:val="4E4D6D66"/>
    <w:rsid w:val="4ED16F80"/>
    <w:rsid w:val="4F0A737C"/>
    <w:rsid w:val="5014248B"/>
    <w:rsid w:val="501A0CD9"/>
    <w:rsid w:val="50341764"/>
    <w:rsid w:val="509B57D2"/>
    <w:rsid w:val="50E41AC9"/>
    <w:rsid w:val="51D26C70"/>
    <w:rsid w:val="5209413F"/>
    <w:rsid w:val="52C158ED"/>
    <w:rsid w:val="5361128F"/>
    <w:rsid w:val="53F21FCF"/>
    <w:rsid w:val="56134F75"/>
    <w:rsid w:val="56464A92"/>
    <w:rsid w:val="5692709A"/>
    <w:rsid w:val="56C63E25"/>
    <w:rsid w:val="56FE0E69"/>
    <w:rsid w:val="57224F5D"/>
    <w:rsid w:val="57381328"/>
    <w:rsid w:val="57D94255"/>
    <w:rsid w:val="58AF74FE"/>
    <w:rsid w:val="58F35D7C"/>
    <w:rsid w:val="58FB6473"/>
    <w:rsid w:val="59190C54"/>
    <w:rsid w:val="59D27B1C"/>
    <w:rsid w:val="59F639D4"/>
    <w:rsid w:val="5AAD0AEE"/>
    <w:rsid w:val="5B3A257C"/>
    <w:rsid w:val="5B4348A7"/>
    <w:rsid w:val="5B602A3D"/>
    <w:rsid w:val="5B8A40BF"/>
    <w:rsid w:val="5B9A7328"/>
    <w:rsid w:val="5BAD6AFA"/>
    <w:rsid w:val="5BED2AA9"/>
    <w:rsid w:val="5CD30587"/>
    <w:rsid w:val="5D5740CA"/>
    <w:rsid w:val="5DD25D32"/>
    <w:rsid w:val="5E916E26"/>
    <w:rsid w:val="5EE27DAF"/>
    <w:rsid w:val="5FCF66C0"/>
    <w:rsid w:val="60350A27"/>
    <w:rsid w:val="6069670F"/>
    <w:rsid w:val="608202F2"/>
    <w:rsid w:val="60B60050"/>
    <w:rsid w:val="61084A11"/>
    <w:rsid w:val="61631182"/>
    <w:rsid w:val="61CA76E4"/>
    <w:rsid w:val="61D05D13"/>
    <w:rsid w:val="62337AD4"/>
    <w:rsid w:val="62D52D72"/>
    <w:rsid w:val="63510908"/>
    <w:rsid w:val="63877DDD"/>
    <w:rsid w:val="63FD6E88"/>
    <w:rsid w:val="642C0ABB"/>
    <w:rsid w:val="64561CAC"/>
    <w:rsid w:val="64710ACB"/>
    <w:rsid w:val="64716B67"/>
    <w:rsid w:val="64EB2D54"/>
    <w:rsid w:val="65063C47"/>
    <w:rsid w:val="65A879C3"/>
    <w:rsid w:val="65EA0A73"/>
    <w:rsid w:val="66513DB2"/>
    <w:rsid w:val="6789486A"/>
    <w:rsid w:val="67923C47"/>
    <w:rsid w:val="682B1B5A"/>
    <w:rsid w:val="689A76AB"/>
    <w:rsid w:val="68A51B5E"/>
    <w:rsid w:val="69AE3FAD"/>
    <w:rsid w:val="6A101D3D"/>
    <w:rsid w:val="6A3375D3"/>
    <w:rsid w:val="6AF479C3"/>
    <w:rsid w:val="6C6D7C9F"/>
    <w:rsid w:val="6C877522"/>
    <w:rsid w:val="6D8141AA"/>
    <w:rsid w:val="6DF60765"/>
    <w:rsid w:val="6E59112B"/>
    <w:rsid w:val="6E8B72B3"/>
    <w:rsid w:val="6F30261B"/>
    <w:rsid w:val="6FA10CB2"/>
    <w:rsid w:val="710033AF"/>
    <w:rsid w:val="718816C7"/>
    <w:rsid w:val="7243465C"/>
    <w:rsid w:val="72995A10"/>
    <w:rsid w:val="72CA5F77"/>
    <w:rsid w:val="73600846"/>
    <w:rsid w:val="73603B56"/>
    <w:rsid w:val="74E2279A"/>
    <w:rsid w:val="754F1F99"/>
    <w:rsid w:val="76654669"/>
    <w:rsid w:val="766C6420"/>
    <w:rsid w:val="76804C3B"/>
    <w:rsid w:val="76B15B9E"/>
    <w:rsid w:val="793432D0"/>
    <w:rsid w:val="79E0191D"/>
    <w:rsid w:val="79FD67CE"/>
    <w:rsid w:val="7A05504D"/>
    <w:rsid w:val="7AE96E8A"/>
    <w:rsid w:val="7B0B6CCE"/>
    <w:rsid w:val="7B714792"/>
    <w:rsid w:val="7C4828D6"/>
    <w:rsid w:val="7D502CEB"/>
    <w:rsid w:val="7D506DE9"/>
    <w:rsid w:val="7D5967E7"/>
    <w:rsid w:val="7EDDB7D1"/>
    <w:rsid w:val="7F862E04"/>
    <w:rsid w:val="E97E1F62"/>
    <w:rsid w:val="F4ADD547"/>
    <w:rsid w:val="F7FBFABE"/>
    <w:rsid w:val="FB2DC52A"/>
    <w:rsid w:val="FFFDFF6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semiHidden="0" w:name="heading 2" w:locked="1"/>
    <w:lsdException w:qFormat="1" w:uiPriority="9" w:name="heading 3" w:locked="1"/>
    <w:lsdException w:qFormat="1" w:unhideWhenUsed="0" w:uiPriority="0" w:semiHidden="0" w:name="heading 4" w:locked="1"/>
    <w:lsdException w:qFormat="1" w:uiPriority="9" w:name="heading 5" w:locked="1"/>
    <w:lsdException w:qFormat="1" w:uiPriority="9" w:name="heading 6" w:locked="1"/>
    <w:lsdException w:qFormat="1" w:unhideWhenUsed="0" w:uiPriority="0" w:semiHidden="0"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qFormat="1" w:unhideWhenUsed="0" w:uiPriority="3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qFormat="1" w:unhideWhenUsed="0" w:uiPriority="99" w:semiHidden="0"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name="Normal Table"/>
    <w:lsdException w:qFormat="1" w:unhideWhenUsed="0" w:uiPriority="0"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73"/>
    <w:unhideWhenUsed/>
    <w:qFormat/>
    <w:locked/>
    <w:uiPriority w:val="0"/>
    <w:pPr>
      <w:keepNext/>
      <w:keepLines/>
      <w:widowControl w:val="0"/>
      <w:spacing w:beforeLines="0" w:afterLines="0" w:line="580" w:lineRule="exact"/>
      <w:ind w:firstLine="420" w:firstLineChars="200"/>
      <w:jc w:val="both"/>
      <w:outlineLvl w:val="1"/>
    </w:pPr>
    <w:rPr>
      <w:rFonts w:ascii="Arial" w:hAnsi="Arial" w:eastAsia="黑体" w:cs="Times New Roman"/>
      <w:kern w:val="2"/>
      <w:sz w:val="32"/>
      <w:szCs w:val="24"/>
      <w:lang w:val="en-US" w:eastAsia="zh-CN" w:bidi="ar-SA"/>
    </w:rPr>
  </w:style>
  <w:style w:type="paragraph" w:styleId="2">
    <w:name w:val="heading 4"/>
    <w:next w:val="1"/>
    <w:qFormat/>
    <w:locked/>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paragraph" w:styleId="4">
    <w:name w:val="heading 7"/>
    <w:basedOn w:val="1"/>
    <w:next w:val="1"/>
    <w:qFormat/>
    <w:locked/>
    <w:uiPriority w:val="0"/>
    <w:pPr>
      <w:keepNext/>
      <w:keepLines/>
      <w:adjustRightInd w:val="0"/>
      <w:spacing w:before="240" w:after="64" w:line="320" w:lineRule="atLeast"/>
      <w:jc w:val="left"/>
      <w:textAlignment w:val="baseline"/>
      <w:outlineLvl w:val="6"/>
    </w:pPr>
    <w:rPr>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semiHidden/>
    <w:unhideWhenUsed/>
    <w:qFormat/>
    <w:locked/>
    <w:uiPriority w:val="99"/>
    <w:pPr>
      <w:jc w:val="left"/>
    </w:pPr>
  </w:style>
  <w:style w:type="paragraph" w:styleId="7">
    <w:name w:val="Body Text"/>
    <w:basedOn w:val="1"/>
    <w:link w:val="43"/>
    <w:qFormat/>
    <w:uiPriority w:val="99"/>
    <w:pPr>
      <w:spacing w:after="120"/>
    </w:pPr>
  </w:style>
  <w:style w:type="paragraph" w:styleId="8">
    <w:name w:val="Body Text Indent"/>
    <w:basedOn w:val="1"/>
    <w:next w:val="9"/>
    <w:link w:val="45"/>
    <w:qFormat/>
    <w:uiPriority w:val="99"/>
    <w:pPr>
      <w:spacing w:after="120"/>
      <w:ind w:left="420" w:leftChars="200"/>
    </w:pPr>
  </w:style>
  <w:style w:type="paragraph" w:styleId="9">
    <w:name w:val="annotation subject"/>
    <w:next w:val="1"/>
    <w:qFormat/>
    <w:locked/>
    <w:uiPriority w:val="0"/>
    <w:pPr>
      <w:widowControl w:val="0"/>
    </w:pPr>
    <w:rPr>
      <w:rFonts w:ascii="Times New Roman" w:hAnsi="Times New Roman" w:eastAsia="宋体" w:cs="Times New Roman"/>
      <w:b/>
      <w:bCs/>
      <w:kern w:val="2"/>
      <w:sz w:val="21"/>
      <w:szCs w:val="24"/>
      <w:lang w:val="en-US" w:eastAsia="zh-CN" w:bidi="ar-SA"/>
    </w:rPr>
  </w:style>
  <w:style w:type="paragraph" w:styleId="10">
    <w:name w:val="toc 3"/>
    <w:basedOn w:val="1"/>
    <w:next w:val="1"/>
    <w:qFormat/>
    <w:locked/>
    <w:uiPriority w:val="39"/>
    <w:pPr>
      <w:ind w:left="840" w:leftChars="400"/>
    </w:pPr>
    <w:rPr>
      <w:rFonts w:ascii="Times New Roman" w:hAnsi="Times New Roman" w:cs="Times New Roman"/>
      <w:szCs w:val="24"/>
    </w:rPr>
  </w:style>
  <w:style w:type="paragraph" w:styleId="11">
    <w:name w:val="Plain Text"/>
    <w:basedOn w:val="1"/>
    <w:link w:val="46"/>
    <w:qFormat/>
    <w:uiPriority w:val="0"/>
    <w:rPr>
      <w:rFonts w:ascii="宋体" w:hAnsi="Courier New" w:cs="宋体"/>
    </w:rPr>
  </w:style>
  <w:style w:type="paragraph" w:styleId="12">
    <w:name w:val="Date"/>
    <w:basedOn w:val="1"/>
    <w:next w:val="1"/>
    <w:link w:val="47"/>
    <w:qFormat/>
    <w:uiPriority w:val="0"/>
    <w:rPr>
      <w:sz w:val="24"/>
      <w:szCs w:val="24"/>
    </w:rPr>
  </w:style>
  <w:style w:type="paragraph" w:styleId="13">
    <w:name w:val="endnote text"/>
    <w:basedOn w:val="1"/>
    <w:qFormat/>
    <w:locked/>
    <w:uiPriority w:val="99"/>
    <w:pPr>
      <w:snapToGrid w:val="0"/>
      <w:jc w:val="left"/>
    </w:pPr>
  </w:style>
  <w:style w:type="paragraph" w:styleId="14">
    <w:name w:val="Balloon Text"/>
    <w:basedOn w:val="1"/>
    <w:link w:val="65"/>
    <w:semiHidden/>
    <w:unhideWhenUsed/>
    <w:qFormat/>
    <w:locked/>
    <w:uiPriority w:val="99"/>
    <w:rPr>
      <w:sz w:val="18"/>
      <w:szCs w:val="18"/>
    </w:rPr>
  </w:style>
  <w:style w:type="paragraph" w:styleId="15">
    <w:name w:val="footer"/>
    <w:basedOn w:val="1"/>
    <w:link w:val="48"/>
    <w:qFormat/>
    <w:uiPriority w:val="99"/>
    <w:pPr>
      <w:tabs>
        <w:tab w:val="center" w:pos="4153"/>
        <w:tab w:val="right" w:pos="8306"/>
      </w:tabs>
      <w:snapToGrid w:val="0"/>
      <w:jc w:val="left"/>
    </w:pPr>
    <w:rPr>
      <w:sz w:val="18"/>
      <w:szCs w:val="18"/>
    </w:rPr>
  </w:style>
  <w:style w:type="paragraph" w:styleId="16">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51"/>
    <w:qFormat/>
    <w:locked/>
    <w:uiPriority w:val="99"/>
    <w:pPr>
      <w:spacing w:before="240" w:after="60"/>
      <w:jc w:val="center"/>
      <w:outlineLvl w:val="0"/>
    </w:pPr>
    <w:rPr>
      <w:rFonts w:ascii="Cambria" w:hAnsi="Cambria" w:cs="Cambria"/>
      <w:b/>
      <w:bCs/>
      <w:sz w:val="32"/>
      <w:szCs w:val="32"/>
    </w:rPr>
  </w:style>
  <w:style w:type="paragraph" w:styleId="19">
    <w:name w:val="Body Text First Indent"/>
    <w:basedOn w:val="7"/>
    <w:link w:val="44"/>
    <w:qFormat/>
    <w:uiPriority w:val="99"/>
    <w:pPr>
      <w:ind w:firstLine="420" w:firstLineChars="100"/>
    </w:pPr>
  </w:style>
  <w:style w:type="paragraph" w:styleId="20">
    <w:name w:val="Body Text First Indent 2"/>
    <w:basedOn w:val="8"/>
    <w:next w:val="1"/>
    <w:link w:val="49"/>
    <w:qFormat/>
    <w:uiPriority w:val="99"/>
    <w:pPr>
      <w:autoSpaceDE w:val="0"/>
      <w:autoSpaceDN w:val="0"/>
      <w:adjustRightInd w:val="0"/>
      <w:jc w:val="left"/>
    </w:pPr>
    <w:rPr>
      <w:kern w:val="0"/>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b/>
      <w:bCs/>
    </w:rPr>
  </w:style>
  <w:style w:type="character" w:styleId="25">
    <w:name w:val="page number"/>
    <w:basedOn w:val="23"/>
    <w:qFormat/>
    <w:uiPriority w:val="99"/>
  </w:style>
  <w:style w:type="character" w:styleId="26">
    <w:name w:val="FollowedHyperlink"/>
    <w:basedOn w:val="23"/>
    <w:qFormat/>
    <w:uiPriority w:val="99"/>
    <w:rPr>
      <w:color w:val="auto"/>
      <w:u w:val="none"/>
    </w:rPr>
  </w:style>
  <w:style w:type="character" w:styleId="27">
    <w:name w:val="Emphasis"/>
    <w:basedOn w:val="23"/>
    <w:qFormat/>
    <w:locked/>
    <w:uiPriority w:val="99"/>
  </w:style>
  <w:style w:type="character" w:styleId="28">
    <w:name w:val="HTML Definition"/>
    <w:basedOn w:val="23"/>
    <w:qFormat/>
    <w:uiPriority w:val="99"/>
  </w:style>
  <w:style w:type="character" w:styleId="29">
    <w:name w:val="HTML Variable"/>
    <w:basedOn w:val="23"/>
    <w:qFormat/>
    <w:uiPriority w:val="99"/>
  </w:style>
  <w:style w:type="character" w:styleId="30">
    <w:name w:val="Hyperlink"/>
    <w:basedOn w:val="23"/>
    <w:qFormat/>
    <w:uiPriority w:val="99"/>
    <w:rPr>
      <w:color w:val="auto"/>
      <w:u w:val="none"/>
    </w:rPr>
  </w:style>
  <w:style w:type="character" w:styleId="31">
    <w:name w:val="HTML Code"/>
    <w:basedOn w:val="23"/>
    <w:qFormat/>
    <w:uiPriority w:val="99"/>
    <w:rPr>
      <w:rFonts w:ascii="monospace" w:hAnsi="monospace" w:cs="monospace"/>
      <w:sz w:val="21"/>
      <w:szCs w:val="21"/>
    </w:rPr>
  </w:style>
  <w:style w:type="character" w:styleId="32">
    <w:name w:val="HTML Cite"/>
    <w:basedOn w:val="23"/>
    <w:qFormat/>
    <w:uiPriority w:val="99"/>
  </w:style>
  <w:style w:type="character" w:styleId="33">
    <w:name w:val="HTML Keyboard"/>
    <w:basedOn w:val="23"/>
    <w:qFormat/>
    <w:uiPriority w:val="99"/>
    <w:rPr>
      <w:rFonts w:ascii="monospace" w:hAnsi="monospace" w:cs="monospace"/>
      <w:sz w:val="21"/>
      <w:szCs w:val="21"/>
    </w:rPr>
  </w:style>
  <w:style w:type="character" w:styleId="34">
    <w:name w:val="HTML Sample"/>
    <w:basedOn w:val="23"/>
    <w:qFormat/>
    <w:uiPriority w:val="99"/>
    <w:rPr>
      <w:rFonts w:ascii="monospace" w:hAnsi="monospace" w:cs="monospace"/>
      <w:vanish/>
      <w:color w:val="FFFFFF"/>
      <w:sz w:val="21"/>
      <w:szCs w:val="21"/>
    </w:rPr>
  </w:style>
  <w:style w:type="paragraph" w:customStyle="1" w:styleId="3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6">
    <w:name w:val="列出段落1"/>
    <w:basedOn w:val="37"/>
    <w:next w:val="4"/>
    <w:qFormat/>
    <w:uiPriority w:val="99"/>
    <w:pPr>
      <w:ind w:firstLine="420" w:firstLineChars="200"/>
    </w:pPr>
    <w:rPr>
      <w:szCs w:val="22"/>
    </w:rPr>
  </w:style>
  <w:style w:type="paragraph" w:customStyle="1" w:styleId="37">
    <w:name w:val="正文_7"/>
    <w:basedOn w:val="38"/>
    <w:next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8"/>
    <w:next w:val="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Default_2"/>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0">
    <w:name w:val="正文首行缩进 2_6"/>
    <w:basedOn w:val="41"/>
    <w:qFormat/>
    <w:uiPriority w:val="0"/>
    <w:pPr>
      <w:widowControl w:val="0"/>
      <w:autoSpaceDE w:val="0"/>
      <w:autoSpaceDN w:val="0"/>
      <w:adjustRightInd w:val="0"/>
      <w:spacing w:after="120"/>
      <w:ind w:left="200" w:leftChars="200" w:firstLine="420"/>
      <w:jc w:val="left"/>
    </w:pPr>
    <w:rPr>
      <w:rFonts w:ascii="Calibri" w:hAnsi="Calibri" w:eastAsia="宋体" w:cs="Times New Roman"/>
      <w:kern w:val="0"/>
      <w:sz w:val="20"/>
      <w:szCs w:val="24"/>
      <w:lang w:val="en-US" w:eastAsia="zh-CN" w:bidi="ar-SA"/>
    </w:rPr>
  </w:style>
  <w:style w:type="paragraph" w:customStyle="1" w:styleId="41">
    <w:name w:val="正文文本缩进_7"/>
    <w:qFormat/>
    <w:uiPriority w:val="0"/>
    <w:pPr>
      <w:widowControl w:val="0"/>
      <w:spacing w:after="120"/>
      <w:ind w:left="200" w:leftChars="200"/>
      <w:jc w:val="both"/>
    </w:pPr>
    <w:rPr>
      <w:rFonts w:ascii="Times New Roman" w:hAnsi="Times New Roman" w:eastAsia="宋体" w:cs="Times New Roman"/>
      <w:kern w:val="0"/>
      <w:sz w:val="20"/>
      <w:szCs w:val="24"/>
      <w:lang w:val="en-US" w:eastAsia="zh-CN" w:bidi="ar-SA"/>
    </w:rPr>
  </w:style>
  <w:style w:type="paragraph" w:customStyle="1" w:styleId="42">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正文文本 Char"/>
    <w:basedOn w:val="23"/>
    <w:link w:val="7"/>
    <w:semiHidden/>
    <w:qFormat/>
    <w:locked/>
    <w:uiPriority w:val="99"/>
    <w:rPr>
      <w:sz w:val="21"/>
      <w:szCs w:val="21"/>
    </w:rPr>
  </w:style>
  <w:style w:type="character" w:customStyle="1" w:styleId="44">
    <w:name w:val="正文首行缩进 Char"/>
    <w:basedOn w:val="43"/>
    <w:link w:val="19"/>
    <w:semiHidden/>
    <w:qFormat/>
    <w:locked/>
    <w:uiPriority w:val="99"/>
    <w:rPr>
      <w:sz w:val="21"/>
      <w:szCs w:val="21"/>
    </w:rPr>
  </w:style>
  <w:style w:type="character" w:customStyle="1" w:styleId="45">
    <w:name w:val="正文文本缩进 Char"/>
    <w:basedOn w:val="23"/>
    <w:link w:val="8"/>
    <w:semiHidden/>
    <w:qFormat/>
    <w:locked/>
    <w:uiPriority w:val="99"/>
    <w:rPr>
      <w:sz w:val="21"/>
      <w:szCs w:val="21"/>
    </w:rPr>
  </w:style>
  <w:style w:type="character" w:customStyle="1" w:styleId="46">
    <w:name w:val="纯文本 Char"/>
    <w:basedOn w:val="23"/>
    <w:link w:val="11"/>
    <w:semiHidden/>
    <w:qFormat/>
    <w:locked/>
    <w:uiPriority w:val="0"/>
    <w:rPr>
      <w:rFonts w:ascii="宋体" w:hAnsi="Courier New" w:cs="宋体"/>
      <w:sz w:val="21"/>
      <w:szCs w:val="21"/>
    </w:rPr>
  </w:style>
  <w:style w:type="character" w:customStyle="1" w:styleId="47">
    <w:name w:val="日期 Char"/>
    <w:basedOn w:val="23"/>
    <w:link w:val="12"/>
    <w:semiHidden/>
    <w:qFormat/>
    <w:locked/>
    <w:uiPriority w:val="99"/>
    <w:rPr>
      <w:sz w:val="21"/>
      <w:szCs w:val="21"/>
    </w:rPr>
  </w:style>
  <w:style w:type="character" w:customStyle="1" w:styleId="48">
    <w:name w:val="页脚 Char"/>
    <w:basedOn w:val="23"/>
    <w:link w:val="15"/>
    <w:qFormat/>
    <w:locked/>
    <w:uiPriority w:val="99"/>
    <w:rPr>
      <w:sz w:val="18"/>
      <w:szCs w:val="18"/>
    </w:rPr>
  </w:style>
  <w:style w:type="character" w:customStyle="1" w:styleId="49">
    <w:name w:val="正文首行缩进 2 Char"/>
    <w:basedOn w:val="45"/>
    <w:link w:val="20"/>
    <w:semiHidden/>
    <w:qFormat/>
    <w:locked/>
    <w:uiPriority w:val="99"/>
    <w:rPr>
      <w:rFonts w:ascii="Calibri" w:hAnsi="Calibri" w:cs="Calibri"/>
      <w:sz w:val="21"/>
      <w:szCs w:val="21"/>
    </w:rPr>
  </w:style>
  <w:style w:type="character" w:customStyle="1" w:styleId="50">
    <w:name w:val="页眉 Char"/>
    <w:basedOn w:val="23"/>
    <w:link w:val="16"/>
    <w:qFormat/>
    <w:locked/>
    <w:uiPriority w:val="99"/>
    <w:rPr>
      <w:sz w:val="18"/>
      <w:szCs w:val="18"/>
    </w:rPr>
  </w:style>
  <w:style w:type="character" w:customStyle="1" w:styleId="51">
    <w:name w:val="标题 Char"/>
    <w:basedOn w:val="23"/>
    <w:link w:val="18"/>
    <w:qFormat/>
    <w:locked/>
    <w:uiPriority w:val="99"/>
    <w:rPr>
      <w:rFonts w:ascii="Cambria" w:hAnsi="Cambria" w:cs="Cambria"/>
      <w:b/>
      <w:bCs/>
      <w:kern w:val="2"/>
      <w:sz w:val="32"/>
      <w:szCs w:val="32"/>
    </w:rPr>
  </w:style>
  <w:style w:type="paragraph" w:customStyle="1" w:styleId="52">
    <w:name w:val="p0"/>
    <w:basedOn w:val="1"/>
    <w:qFormat/>
    <w:uiPriority w:val="99"/>
    <w:pPr>
      <w:widowControl/>
    </w:pPr>
    <w:rPr>
      <w:kern w:val="0"/>
    </w:rPr>
  </w:style>
  <w:style w:type="paragraph" w:customStyle="1" w:styleId="53">
    <w:name w:val="正文缩进(楷体)"/>
    <w:basedOn w:val="1"/>
    <w:qFormat/>
    <w:uiPriority w:val="99"/>
    <w:pPr>
      <w:widowControl/>
      <w:spacing w:line="420" w:lineRule="exact"/>
      <w:ind w:firstLine="200" w:firstLineChars="200"/>
      <w:jc w:val="left"/>
    </w:pPr>
    <w:rPr>
      <w:rFonts w:ascii="宋体" w:hAnsi="宋体" w:eastAsia="KaiTi_GB2312" w:cs="宋体"/>
      <w:kern w:val="0"/>
      <w:sz w:val="24"/>
      <w:szCs w:val="24"/>
    </w:rPr>
  </w:style>
  <w:style w:type="character" w:customStyle="1" w:styleId="54">
    <w:name w:val="纯文本 Char2"/>
    <w:qFormat/>
    <w:locked/>
    <w:uiPriority w:val="99"/>
    <w:rPr>
      <w:rFonts w:ascii="宋体" w:hAnsi="Courier New" w:eastAsia="宋体" w:cs="宋体"/>
      <w:kern w:val="2"/>
      <w:sz w:val="21"/>
      <w:szCs w:val="21"/>
      <w:lang w:val="en-US" w:eastAsia="zh-CN"/>
    </w:rPr>
  </w:style>
  <w:style w:type="character" w:customStyle="1" w:styleId="55">
    <w:name w:val="font51"/>
    <w:basedOn w:val="23"/>
    <w:qFormat/>
    <w:uiPriority w:val="99"/>
    <w:rPr>
      <w:rFonts w:ascii="宋体" w:hAnsi="宋体" w:eastAsia="宋体" w:cs="宋体"/>
      <w:color w:val="000000"/>
      <w:sz w:val="20"/>
      <w:szCs w:val="20"/>
      <w:u w:val="none"/>
    </w:rPr>
  </w:style>
  <w:style w:type="character" w:customStyle="1" w:styleId="56">
    <w:name w:val="font11"/>
    <w:basedOn w:val="23"/>
    <w:qFormat/>
    <w:uiPriority w:val="99"/>
    <w:rPr>
      <w:rFonts w:ascii="宋体" w:hAnsi="宋体" w:eastAsia="宋体" w:cs="宋体"/>
      <w:color w:val="000000"/>
      <w:sz w:val="16"/>
      <w:szCs w:val="16"/>
      <w:u w:val="none"/>
    </w:rPr>
  </w:style>
  <w:style w:type="character" w:customStyle="1" w:styleId="57">
    <w:name w:val="font31"/>
    <w:basedOn w:val="23"/>
    <w:qFormat/>
    <w:uiPriority w:val="99"/>
    <w:rPr>
      <w:rFonts w:ascii="宋体" w:hAnsi="宋体" w:eastAsia="宋体" w:cs="宋体"/>
      <w:color w:val="000000"/>
      <w:sz w:val="20"/>
      <w:szCs w:val="20"/>
      <w:u w:val="none"/>
    </w:rPr>
  </w:style>
  <w:style w:type="character" w:customStyle="1" w:styleId="58">
    <w:name w:val="font01"/>
    <w:basedOn w:val="23"/>
    <w:qFormat/>
    <w:uiPriority w:val="99"/>
    <w:rPr>
      <w:rFonts w:ascii="宋体" w:hAnsi="宋体" w:eastAsia="宋体" w:cs="宋体"/>
      <w:color w:val="000000"/>
      <w:sz w:val="16"/>
      <w:szCs w:val="16"/>
      <w:u w:val="single"/>
    </w:rPr>
  </w:style>
  <w:style w:type="paragraph" w:customStyle="1" w:styleId="59">
    <w:name w:val="xl68"/>
    <w:basedOn w:val="1"/>
    <w:qFormat/>
    <w:uiPriority w:val="99"/>
    <w:pPr>
      <w:widowControl/>
      <w:spacing w:before="100" w:beforeAutospacing="1" w:after="100" w:afterAutospacing="1"/>
      <w:jc w:val="center"/>
    </w:pPr>
    <w:rPr>
      <w:rFonts w:ascii="宋体" w:hAnsi="宋体" w:cs="宋体"/>
      <w:b/>
      <w:bCs/>
      <w:kern w:val="0"/>
      <w:sz w:val="36"/>
      <w:szCs w:val="36"/>
    </w:rPr>
  </w:style>
  <w:style w:type="paragraph" w:customStyle="1" w:styleId="60">
    <w:name w:val="xl28"/>
    <w:basedOn w:val="1"/>
    <w:qFormat/>
    <w:uiPriority w:val="99"/>
    <w:pPr>
      <w:widowControl/>
      <w:spacing w:before="100" w:beforeAutospacing="1" w:after="100" w:afterAutospacing="1"/>
      <w:jc w:val="center"/>
    </w:pPr>
    <w:rPr>
      <w:rFonts w:ascii="宋体" w:hAnsi="宋体" w:cs="宋体"/>
      <w:kern w:val="0"/>
      <w:sz w:val="24"/>
      <w:szCs w:val="24"/>
    </w:rPr>
  </w:style>
  <w:style w:type="character" w:customStyle="1" w:styleId="61">
    <w:name w:val="fontborder"/>
    <w:basedOn w:val="23"/>
    <w:qFormat/>
    <w:uiPriority w:val="99"/>
    <w:rPr>
      <w:bdr w:val="single" w:color="000000" w:sz="6" w:space="0"/>
    </w:rPr>
  </w:style>
  <w:style w:type="character" w:customStyle="1" w:styleId="62">
    <w:name w:val="fontstrikethrough"/>
    <w:basedOn w:val="23"/>
    <w:qFormat/>
    <w:uiPriority w:val="99"/>
    <w:rPr>
      <w:strike/>
    </w:rPr>
  </w:style>
  <w:style w:type="character" w:customStyle="1" w:styleId="63">
    <w:name w:val="日期 Char1"/>
    <w:qFormat/>
    <w:uiPriority w:val="0"/>
    <w:rPr>
      <w:rFonts w:eastAsia="宋体"/>
      <w:kern w:val="2"/>
      <w:sz w:val="24"/>
      <w:lang w:val="en-US" w:eastAsia="zh-CN" w:bidi="ar-SA"/>
    </w:rPr>
  </w:style>
  <w:style w:type="paragraph" w:styleId="64">
    <w:name w:val="List Paragraph"/>
    <w:basedOn w:val="1"/>
    <w:qFormat/>
    <w:uiPriority w:val="34"/>
    <w:pPr>
      <w:ind w:firstLine="420" w:firstLineChars="200"/>
    </w:pPr>
  </w:style>
  <w:style w:type="character" w:customStyle="1" w:styleId="65">
    <w:name w:val="批注框文本 Char"/>
    <w:basedOn w:val="23"/>
    <w:link w:val="14"/>
    <w:semiHidden/>
    <w:qFormat/>
    <w:uiPriority w:val="99"/>
    <w:rPr>
      <w:rFonts w:ascii="Calibri" w:hAnsi="Calibri" w:eastAsia="宋体" w:cs="Calibri"/>
      <w:kern w:val="2"/>
      <w:sz w:val="18"/>
      <w:szCs w:val="18"/>
    </w:rPr>
  </w:style>
  <w:style w:type="character" w:customStyle="1" w:styleId="66">
    <w:name w:val="NormalCharacter"/>
    <w:qFormat/>
    <w:uiPriority w:val="0"/>
  </w:style>
  <w:style w:type="paragraph" w:customStyle="1" w:styleId="67">
    <w:name w:val="Normal_0_1"/>
    <w:qFormat/>
    <w:uiPriority w:val="0"/>
    <w:rPr>
      <w:rFonts w:ascii="Times New Roman" w:hAnsi="Times New Roman" w:eastAsia="宋体" w:cs="Times New Roman"/>
      <w:sz w:val="24"/>
      <w:szCs w:val="24"/>
      <w:lang w:val="en-US" w:eastAsia="zh-CN" w:bidi="ar-SA"/>
    </w:rPr>
  </w:style>
  <w:style w:type="paragraph" w:customStyle="1" w:styleId="68">
    <w:name w:val="正文_0"/>
    <w:qFormat/>
    <w:uiPriority w:val="0"/>
    <w:pPr>
      <w:widowControl w:val="0"/>
      <w:jc w:val="both"/>
    </w:pPr>
    <w:rPr>
      <w:rFonts w:ascii="Times New Roman" w:hAnsi="Times New Roman" w:eastAsia="宋体" w:cs="Times New Roman"/>
      <w:b/>
      <w:bCs/>
      <w:color w:val="000000"/>
      <w:kern w:val="2"/>
      <w:sz w:val="21"/>
      <w:szCs w:val="21"/>
      <w:lang w:val="en-US" w:eastAsia="zh-CN" w:bidi="ar-SA"/>
    </w:rPr>
  </w:style>
  <w:style w:type="character" w:customStyle="1" w:styleId="69">
    <w:name w:val="10"/>
    <w:basedOn w:val="23"/>
    <w:qFormat/>
    <w:uiPriority w:val="0"/>
    <w:rPr>
      <w:rFonts w:hint="default" w:ascii="Times New Roman" w:hAnsi="Times New Roman" w:cs="Times New Roman"/>
    </w:rPr>
  </w:style>
  <w:style w:type="paragraph" w:customStyle="1" w:styleId="70">
    <w:name w:val="首行缩进"/>
    <w:basedOn w:val="1"/>
    <w:qFormat/>
    <w:uiPriority w:val="0"/>
    <w:pPr>
      <w:ind w:firstLine="480" w:firstLineChars="200"/>
    </w:pPr>
    <w:rPr>
      <w:lang w:val="zh-CN"/>
    </w:rPr>
  </w:style>
  <w:style w:type="paragraph" w:customStyle="1" w:styleId="71">
    <w:name w:val="Table Paragraph"/>
    <w:basedOn w:val="1"/>
    <w:qFormat/>
    <w:uiPriority w:val="1"/>
    <w:rPr>
      <w:rFonts w:ascii="宋体" w:hAnsi="宋体" w:cs="宋体"/>
      <w:lang w:val="zh-CN" w:bidi="zh-CN"/>
    </w:rPr>
  </w:style>
  <w:style w:type="paragraph" w:customStyle="1" w:styleId="72">
    <w:name w:val="Normal_1"/>
    <w:qFormat/>
    <w:uiPriority w:val="0"/>
    <w:rPr>
      <w:rFonts w:ascii="Calibri" w:hAnsi="Calibri" w:eastAsia="宋体" w:cs="Times New Roman"/>
      <w:sz w:val="24"/>
      <w:szCs w:val="24"/>
    </w:rPr>
  </w:style>
  <w:style w:type="character" w:customStyle="1" w:styleId="73">
    <w:name w:val="标题 2 Char"/>
    <w:link w:val="3"/>
    <w:qFormat/>
    <w:uiPriority w:val="0"/>
    <w:rPr>
      <w:rFonts w:ascii="Arial" w:hAnsi="Arial" w:eastAsia="黑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40</Pages>
  <Words>99</Words>
  <Characters>112</Characters>
  <Lines>19</Lines>
  <Paragraphs>40</Paragraphs>
  <TotalTime>0</TotalTime>
  <ScaleCrop>false</ScaleCrop>
  <LinksUpToDate>false</LinksUpToDate>
  <CharactersWithSpaces>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2022-08-10T12:27:00Z</dcterms:created>
  <dc:creator>hp</dc:creator>
  <cp:lastModifiedBy>胡幸子</cp:lastModifiedBy>
  <cp:lastPrinted>2025-08-07T01:31:00Z</cp:lastPrinted>
  <dcterms:modified xsi:type="dcterms:W3CDTF">2025-10-14T09:24:51Z</dcterms:modified>
  <dc:title>芙蓉区政府采购</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65A80C0CC54E4B5686D08ED6A7B4607D_13</vt:lpwstr>
  </property>
  <property fmtid="{D5CDD505-2E9C-101B-9397-08002B2CF9AE}" pid="4" name="KSOTemplateDocerSaveRecord">
    <vt:lpwstr>eyJoZGlkIjoiNmIwNDdmZDBkOWQxODg5NTBiOTU4ZmUzZTE0NzU2OTIiLCJ1c2VySWQiOiIyOTk4NzQ3MjMifQ==</vt:lpwstr>
  </property>
</Properties>
</file>