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57BEF">
      <w:pPr>
        <w:spacing w:line="580" w:lineRule="exact"/>
        <w:rPr>
          <w:rFonts w:ascii="黑体" w:hAnsi="黑体" w:eastAsia="黑体" w:cs="黑体"/>
          <w:sz w:val="32"/>
          <w:szCs w:val="32"/>
        </w:rPr>
      </w:pPr>
      <w:r>
        <w:rPr>
          <w:rFonts w:hint="eastAsia" w:ascii="黑体" w:hAnsi="黑体" w:eastAsia="黑体" w:cs="黑体"/>
          <w:sz w:val="32"/>
          <w:szCs w:val="32"/>
        </w:rPr>
        <w:t>附件</w:t>
      </w:r>
    </w:p>
    <w:p w14:paraId="74921A00">
      <w:pPr>
        <w:spacing w:line="580" w:lineRule="exact"/>
        <w:jc w:val="center"/>
      </w:pPr>
      <w:r>
        <w:rPr>
          <w:rFonts w:hint="eastAsia" w:ascii="方正小标宋简体" w:hAnsi="方正小标宋简体" w:eastAsia="方正小标宋简体" w:cs="方正小标宋简体"/>
          <w:sz w:val="44"/>
          <w:szCs w:val="44"/>
        </w:rPr>
        <w:t>采购需求磋商文件</w:t>
      </w:r>
    </w:p>
    <w:p w14:paraId="2830D2D1">
      <w:pPr>
        <w:spacing w:line="580" w:lineRule="exact"/>
        <w:ind w:firstLine="640" w:firstLineChars="200"/>
        <w:rPr>
          <w:rFonts w:ascii="黑体" w:hAnsi="黑体" w:eastAsia="黑体"/>
          <w:sz w:val="32"/>
          <w:szCs w:val="32"/>
        </w:rPr>
      </w:pPr>
    </w:p>
    <w:p w14:paraId="175D446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ascii="黑体" w:hAnsi="黑体" w:eastAsia="黑体"/>
          <w:sz w:val="32"/>
          <w:szCs w:val="32"/>
        </w:rPr>
        <w:t>一、采购项目名称</w:t>
      </w:r>
    </w:p>
    <w:p w14:paraId="275196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湖南自贸试验区官方网站技术及内容运维服务</w:t>
      </w:r>
    </w:p>
    <w:p w14:paraId="000F56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ascii="黑体" w:hAnsi="黑体" w:eastAsia="黑体"/>
          <w:sz w:val="32"/>
          <w:szCs w:val="32"/>
        </w:rPr>
        <w:t>二、项目概况</w:t>
      </w:r>
    </w:p>
    <w:p w14:paraId="4748D6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sz w:val="32"/>
          <w:szCs w:val="32"/>
          <w:lang w:val="en-US" w:eastAsia="zh-CN"/>
        </w:rPr>
      </w:pPr>
      <w:r>
        <w:rPr>
          <w:rFonts w:hint="eastAsia" w:ascii="仿宋_GB2312" w:hAnsi="仿宋_GB2312" w:eastAsia="仿宋_GB2312" w:cs="仿宋_GB2312"/>
          <w:sz w:val="32"/>
          <w:szCs w:val="32"/>
        </w:rPr>
        <w:t>湖南自贸试验区获批后即开展湖南自贸试验区官方网站建设相关工作。为确保官网长期稳定地运行，持续吸引公众关注，需对官网不断进行系统升级、网络安全防控，结合自贸宣传工作重点进行页面栏目更新、设计制作各类专题等维护、开发及相关服务工作。</w:t>
      </w:r>
    </w:p>
    <w:p w14:paraId="0F40D8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b/>
          <w:bCs/>
          <w:sz w:val="32"/>
          <w:szCs w:val="32"/>
        </w:rPr>
      </w:pPr>
      <w:r>
        <w:rPr>
          <w:rFonts w:ascii="黑体" w:hAnsi="黑体" w:eastAsia="黑体"/>
          <w:sz w:val="32"/>
          <w:szCs w:val="32"/>
        </w:rPr>
        <w:t>三、采购内容</w:t>
      </w:r>
    </w:p>
    <w:p w14:paraId="2EECF4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w:t>
      </w:r>
      <w:r>
        <w:rPr>
          <w:rFonts w:hint="eastAsia" w:ascii="仿宋_GB2312" w:hAnsi="仿宋_GB2312" w:eastAsia="仿宋_GB2312" w:cs="仿宋_GB2312"/>
          <w:i w:val="0"/>
          <w:caps w:val="0"/>
          <w:color w:val="auto"/>
          <w:spacing w:val="0"/>
          <w:kern w:val="0"/>
          <w:sz w:val="32"/>
          <w:szCs w:val="32"/>
          <w:shd w:val="clear" w:fill="FFFFFF"/>
          <w:lang w:val="en-US" w:eastAsia="zh-CN" w:bidi="ar"/>
        </w:rPr>
        <w:t>湖南自贸试验区官方网站技术维护</w:t>
      </w:r>
    </w:p>
    <w:p w14:paraId="7D41C5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（二）湖南自贸试验区官方网站专题运维</w:t>
      </w:r>
    </w:p>
    <w:p w14:paraId="38F451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四、项目预算</w:t>
      </w:r>
    </w:p>
    <w:p w14:paraId="4F8B988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经预算，此次所需经费为1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万元整。</w:t>
      </w:r>
    </w:p>
    <w:p w14:paraId="5E4640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五、项目质量标准和期限</w:t>
      </w:r>
    </w:p>
    <w:p w14:paraId="09D0EE9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标的需执行的国家相关标准、行业标准、地方标准或者其他标准、规范：《中央对地方专项转移支付绩效目标管理暂行办法》（财预〔2015〕163号）、《预算绩效管理工作考核办法》（财预〔2015〕25号）、《财政支出绩效评价管理暂行办法》（财预〔2011〕285号）等有关规定。</w:t>
      </w:r>
    </w:p>
    <w:p w14:paraId="409EA0C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（三）采购标的验收标准主要依据合同相关规定，期限为合同生效后180天。</w:t>
      </w:r>
    </w:p>
    <w:p w14:paraId="6E73226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（三）采购标的的其他技术、服务等要求：详见技术需求。</w:t>
      </w:r>
    </w:p>
    <w:p w14:paraId="3D1345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投标人的资格要求</w:t>
      </w:r>
    </w:p>
    <w:p w14:paraId="74E0463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（一）投标人应符合《中华人民共和国政府采购法》第二十二条的规定。</w:t>
      </w:r>
    </w:p>
    <w:p w14:paraId="6C904DB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354CB60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1C35EAC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798AEE6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79941A8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586B87E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4EB2D8F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（二）本次招标不接受联合体投标</w:t>
      </w:r>
      <w:r>
        <w:rPr>
          <w:rFonts w:hint="eastAsia" w:ascii="仿宋_GB2312" w:hAnsi="仿宋_GB2312" w:eastAsia="仿宋_GB2312" w:cs="仿宋_GB2312"/>
          <w:sz w:val="32"/>
          <w:szCs w:val="32"/>
          <w:lang w:eastAsia="zh-CN"/>
        </w:rPr>
        <w:t>。</w:t>
      </w:r>
    </w:p>
    <w:p w14:paraId="5CF2988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w:t>
      </w:r>
      <w:r>
        <w:rPr>
          <w:rFonts w:hint="eastAsia" w:ascii="仿宋_GB2312" w:hAnsi="仿宋_GB2312" w:eastAsia="仿宋_GB2312" w:cs="仿宋_GB2312"/>
          <w:sz w:val="32"/>
          <w:szCs w:val="32"/>
          <w:lang w:val="en-US" w:eastAsia="zh-CN"/>
        </w:rPr>
        <w:t>时间</w:t>
      </w:r>
      <w:bookmarkStart w:id="0" w:name="_GoBack"/>
      <w:bookmarkEnd w:id="0"/>
      <w:r>
        <w:rPr>
          <w:rFonts w:hint="eastAsia" w:ascii="仿宋_GB2312" w:hAnsi="仿宋_GB2312" w:eastAsia="仿宋_GB2312" w:cs="仿宋_GB2312"/>
          <w:sz w:val="32"/>
          <w:szCs w:val="32"/>
        </w:rPr>
        <w:t>为开标当日。</w:t>
      </w:r>
    </w:p>
    <w:p w14:paraId="76E459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、项目服务要求</w:t>
      </w:r>
    </w:p>
    <w:p w14:paraId="6ECCDF6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（一）有</w:t>
      </w:r>
      <w:r>
        <w:rPr>
          <w:rFonts w:hint="eastAsia" w:ascii="Times New Roman" w:hAnsi="Times New Roman" w:eastAsia="仿宋_GB2312"/>
          <w:sz w:val="32"/>
          <w:szCs w:val="32"/>
          <w:lang w:eastAsia="zh-CN"/>
        </w:rPr>
        <w:t>专业技术团队</w:t>
      </w:r>
      <w:r>
        <w:rPr>
          <w:rFonts w:hint="eastAsia" w:ascii="Times New Roman" w:hAnsi="Times New Roman" w:eastAsia="仿宋_GB2312"/>
          <w:sz w:val="32"/>
          <w:szCs w:val="32"/>
        </w:rPr>
        <w:t>，确保</w:t>
      </w:r>
      <w:r>
        <w:rPr>
          <w:rFonts w:hint="eastAsia" w:ascii="Times New Roman" w:hAnsi="Times New Roman" w:eastAsia="仿宋_GB2312"/>
          <w:sz w:val="32"/>
          <w:szCs w:val="32"/>
          <w:lang w:eastAsia="zh-CN"/>
        </w:rPr>
        <w:t>湖南自贸试验区官网长期稳定运行</w:t>
      </w:r>
      <w:r>
        <w:rPr>
          <w:rFonts w:hint="eastAsia" w:ascii="Times New Roman" w:hAnsi="Times New Roman" w:eastAsia="仿宋_GB2312"/>
          <w:sz w:val="32"/>
          <w:szCs w:val="32"/>
        </w:rPr>
        <w:t>。</w:t>
      </w:r>
    </w:p>
    <w:p w14:paraId="298A44A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应指派职业道德良好、业务水平与执行能力较强的专职职业人员</w:t>
      </w:r>
      <w:r>
        <w:rPr>
          <w:rFonts w:hint="eastAsia" w:ascii="Times New Roman" w:hAnsi="Times New Roman" w:eastAsia="仿宋_GB2312"/>
          <w:sz w:val="32"/>
          <w:szCs w:val="32"/>
          <w:lang w:eastAsia="zh-CN"/>
        </w:rPr>
        <w:t>围绕年度工作要点策划并执行相关专题工作</w:t>
      </w:r>
      <w:r>
        <w:rPr>
          <w:rFonts w:hint="eastAsia" w:ascii="Times New Roman" w:hAnsi="Times New Roman" w:eastAsia="仿宋_GB2312"/>
          <w:sz w:val="32"/>
          <w:szCs w:val="32"/>
        </w:rPr>
        <w:t>。若中标人配备的工作人员不符合采购人要求，采购人有权要求替换工作人员。</w:t>
      </w:r>
    </w:p>
    <w:p w14:paraId="142CF94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w:t>
      </w:r>
      <w:r>
        <w:rPr>
          <w:rFonts w:hint="eastAsia" w:ascii="Times New Roman" w:hAnsi="Times New Roman" w:eastAsia="仿宋_GB2312"/>
          <w:sz w:val="32"/>
          <w:szCs w:val="32"/>
          <w:lang w:eastAsia="zh-CN"/>
        </w:rPr>
        <w:t>供应商</w:t>
      </w:r>
      <w:r>
        <w:rPr>
          <w:rFonts w:hint="eastAsia" w:ascii="Times New Roman" w:hAnsi="Times New Roman" w:eastAsia="仿宋_GB2312"/>
          <w:sz w:val="32"/>
          <w:szCs w:val="32"/>
        </w:rPr>
        <w:t xml:space="preserve">承诺在服务过程中接受采购人的工作安排并遵守廉洁从业相关规定，承诺对工作过程中获知的商业秘密进行保密。 </w:t>
      </w:r>
    </w:p>
    <w:p w14:paraId="6698AB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、服务周期</w:t>
      </w:r>
    </w:p>
    <w:p w14:paraId="5974B29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365</w:t>
      </w:r>
      <w:r>
        <w:rPr>
          <w:rFonts w:hint="eastAsia" w:ascii="Times New Roman" w:hAnsi="Times New Roman" w:eastAsia="仿宋_GB2312"/>
          <w:sz w:val="32"/>
          <w:szCs w:val="32"/>
        </w:rPr>
        <w:t>天。</w:t>
      </w:r>
    </w:p>
    <w:p w14:paraId="1173B3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八、其他说明</w:t>
      </w:r>
    </w:p>
    <w:p w14:paraId="60C453A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（一）服务费结算办法</w:t>
      </w:r>
      <w:r>
        <w:rPr>
          <w:rFonts w:hint="eastAsia" w:ascii="仿宋_GB2312" w:hAnsi="仿宋_GB2312" w:eastAsia="仿宋_GB2312" w:cs="仿宋_GB2312"/>
          <w:sz w:val="32"/>
          <w:szCs w:val="32"/>
          <w:lang w:val="en-US" w:eastAsia="zh-CN"/>
        </w:rPr>
        <w:t>,合同签订后，5个工作日内支付合同金额70%，</w:t>
      </w:r>
      <w:r>
        <w:rPr>
          <w:rFonts w:hint="eastAsia" w:ascii="仿宋_GB2312" w:hAnsi="仿宋_GB2312" w:eastAsia="仿宋_GB2312" w:cs="仿宋_GB2312"/>
          <w:sz w:val="32"/>
          <w:szCs w:val="32"/>
          <w:lang w:eastAsia="zh-CN"/>
        </w:rPr>
        <w:t>服务项目结束，完成验收和绩效评价工作后</w:t>
      </w:r>
      <w:r>
        <w:rPr>
          <w:rFonts w:hint="eastAsia" w:ascii="仿宋_GB2312" w:hAnsi="仿宋_GB2312" w:eastAsia="仿宋_GB2312" w:cs="仿宋_GB2312"/>
          <w:sz w:val="32"/>
          <w:szCs w:val="32"/>
          <w:lang w:val="en-US" w:eastAsia="zh-CN"/>
        </w:rPr>
        <w:t>5个工作日内支付合同金额的30%</w:t>
      </w:r>
      <w:r>
        <w:rPr>
          <w:rFonts w:hint="eastAsia" w:ascii="仿宋_GB2312" w:hAnsi="仿宋_GB2312" w:eastAsia="仿宋_GB2312" w:cs="仿宋_GB2312"/>
          <w:sz w:val="32"/>
          <w:szCs w:val="32"/>
        </w:rPr>
        <w:t>。</w:t>
      </w:r>
    </w:p>
    <w:p w14:paraId="21AE8DF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采用费用包干方式服务，供应商应根据项目要求，详细列明项目所需的人力、物力、财力等，以及所有人工、管理、财务等所有费用。如成交，在服务过程中出现任何遗漏，均由成交人免费提供，采购人不再支付任何其他费用。</w:t>
      </w:r>
    </w:p>
    <w:p w14:paraId="629C3BD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小标宋简体" w:hAnsi="方正小标宋简体" w:eastAsia="仿宋_GB2312" w:cs="方正小标宋简体"/>
          <w:b w:val="0"/>
          <w:bCs w:val="0"/>
          <w:sz w:val="32"/>
          <w:szCs w:val="32"/>
          <w:lang w:eastAsia="zh-CN"/>
        </w:rPr>
      </w:pPr>
      <w:r>
        <w:rPr>
          <w:rFonts w:hint="eastAsia" w:ascii="仿宋_GB2312" w:hAnsi="仿宋_GB2312" w:eastAsia="仿宋_GB2312" w:cs="仿宋_GB2312"/>
          <w:sz w:val="32"/>
          <w:szCs w:val="32"/>
        </w:rPr>
        <w:t>（三）对于上述项目要求，供应商应在响应文件中进行回应，作出承诺及说明</w:t>
      </w:r>
      <w:r>
        <w:rPr>
          <w:rFonts w:hint="eastAsia" w:ascii="仿宋_GB2312" w:hAnsi="仿宋_GB2312" w:eastAsia="仿宋_GB2312" w:cs="仿宋_GB2312"/>
          <w:sz w:val="32"/>
          <w:szCs w:val="32"/>
          <w:lang w:eastAsia="zh-CN"/>
        </w:rPr>
        <w:t>。</w:t>
      </w:r>
    </w:p>
    <w:p w14:paraId="54823AEA">
      <w:pPr>
        <w:pStyle w:val="4"/>
        <w:rPr>
          <w:rFonts w:hint="eastAsia"/>
        </w:rPr>
      </w:pPr>
    </w:p>
    <w:p w14:paraId="288BAB91">
      <w:pPr>
        <w:pStyle w:val="4"/>
        <w:rPr>
          <w:rFonts w:hint="eastAsia"/>
        </w:rPr>
      </w:pPr>
    </w:p>
    <w:p w14:paraId="0C58B0A5">
      <w:pPr>
        <w:pStyle w:val="4"/>
        <w:rPr>
          <w:rFonts w:hint="eastAsia"/>
        </w:rPr>
      </w:pPr>
    </w:p>
    <w:p w14:paraId="3A957404">
      <w:pPr>
        <w:pStyle w:val="4"/>
        <w:rPr>
          <w:rFonts w:hint="eastAsia"/>
        </w:rPr>
      </w:pPr>
    </w:p>
    <w:p w14:paraId="616B0D99">
      <w:pPr>
        <w:pStyle w:val="4"/>
        <w:rPr>
          <w:rFonts w:hint="eastAsia"/>
        </w:rPr>
      </w:pPr>
    </w:p>
    <w:p w14:paraId="4BDD30A8">
      <w:pPr>
        <w:pStyle w:val="4"/>
        <w:rPr>
          <w:rFonts w:hint="eastAsia"/>
        </w:rPr>
      </w:pPr>
    </w:p>
    <w:p w14:paraId="53FBE62F">
      <w:pPr>
        <w:pStyle w:val="4"/>
        <w:rPr>
          <w:rFonts w:hint="eastAsia"/>
        </w:rPr>
      </w:pPr>
    </w:p>
    <w:p w14:paraId="01DBF8E9">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评审因素和标准</w:t>
      </w:r>
    </w:p>
    <w:tbl>
      <w:tblPr>
        <w:tblStyle w:val="6"/>
        <w:tblpPr w:leftFromText="180" w:rightFromText="180" w:vertAnchor="text" w:horzAnchor="page" w:tblpXSpec="center" w:tblpY="399"/>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6583"/>
        <w:gridCol w:w="1076"/>
      </w:tblGrid>
      <w:tr w14:paraId="0D16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40" w:type="dxa"/>
            <w:tcBorders>
              <w:tl2br w:val="nil"/>
              <w:tr2bl w:val="nil"/>
            </w:tcBorders>
            <w:vAlign w:val="center"/>
          </w:tcPr>
          <w:p w14:paraId="41F8798C">
            <w:pPr>
              <w:spacing w:line="400" w:lineRule="exact"/>
              <w:jc w:val="center"/>
              <w:rPr>
                <w:rFonts w:hint="default" w:ascii="Times New Roman" w:hAnsi="Times New Roman" w:cs="Times New Roman"/>
                <w:szCs w:val="21"/>
              </w:rPr>
            </w:pPr>
            <w:r>
              <w:rPr>
                <w:rFonts w:hint="default" w:ascii="Times New Roman" w:hAnsi="Times New Roman" w:cs="Times New Roman"/>
                <w:szCs w:val="21"/>
              </w:rPr>
              <w:t>评审因素</w:t>
            </w:r>
          </w:p>
        </w:tc>
        <w:tc>
          <w:tcPr>
            <w:tcW w:w="6583" w:type="dxa"/>
            <w:tcBorders>
              <w:tl2br w:val="nil"/>
              <w:tr2bl w:val="nil"/>
            </w:tcBorders>
            <w:vAlign w:val="center"/>
          </w:tcPr>
          <w:p w14:paraId="54E86305">
            <w:pPr>
              <w:spacing w:line="400" w:lineRule="exact"/>
              <w:jc w:val="center"/>
              <w:rPr>
                <w:rFonts w:hint="default" w:ascii="Times New Roman" w:hAnsi="Times New Roman" w:cs="Times New Roman"/>
                <w:szCs w:val="21"/>
              </w:rPr>
            </w:pPr>
            <w:r>
              <w:rPr>
                <w:rFonts w:hint="default" w:ascii="Times New Roman" w:hAnsi="Times New Roman" w:cs="Times New Roman"/>
                <w:szCs w:val="21"/>
              </w:rPr>
              <w:t>评分标准</w:t>
            </w:r>
          </w:p>
        </w:tc>
        <w:tc>
          <w:tcPr>
            <w:tcW w:w="1076" w:type="dxa"/>
            <w:tcBorders>
              <w:tl2br w:val="nil"/>
              <w:tr2bl w:val="nil"/>
            </w:tcBorders>
            <w:vAlign w:val="center"/>
          </w:tcPr>
          <w:p w14:paraId="24ABC270">
            <w:pPr>
              <w:spacing w:line="400" w:lineRule="exact"/>
              <w:jc w:val="center"/>
              <w:rPr>
                <w:rFonts w:hint="default" w:ascii="Times New Roman" w:hAnsi="Times New Roman" w:cs="Times New Roman"/>
                <w:szCs w:val="21"/>
              </w:rPr>
            </w:pPr>
            <w:r>
              <w:rPr>
                <w:rFonts w:hint="default" w:ascii="Times New Roman" w:hAnsi="Times New Roman" w:cs="Times New Roman"/>
                <w:szCs w:val="21"/>
              </w:rPr>
              <w:t>分值</w:t>
            </w:r>
          </w:p>
        </w:tc>
      </w:tr>
      <w:tr w14:paraId="0C0E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940" w:type="dxa"/>
            <w:tcBorders>
              <w:tl2br w:val="nil"/>
              <w:tr2bl w:val="nil"/>
            </w:tcBorders>
            <w:vAlign w:val="center"/>
          </w:tcPr>
          <w:p w14:paraId="43C890E8">
            <w:pPr>
              <w:spacing w:line="400" w:lineRule="exact"/>
              <w:jc w:val="center"/>
              <w:rPr>
                <w:rFonts w:hint="default" w:ascii="Times New Roman" w:hAnsi="Times New Roman" w:cs="Times New Roman"/>
                <w:szCs w:val="21"/>
              </w:rPr>
            </w:pPr>
            <w:r>
              <w:rPr>
                <w:rFonts w:hint="default" w:ascii="Times New Roman" w:hAnsi="Times New Roman" w:cs="Times New Roman"/>
                <w:szCs w:val="21"/>
              </w:rPr>
              <w:t>投标报价</w:t>
            </w:r>
          </w:p>
          <w:p w14:paraId="52E13778">
            <w:pPr>
              <w:jc w:val="center"/>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5</w:t>
            </w:r>
            <w:r>
              <w:rPr>
                <w:rFonts w:hint="default" w:cs="Times New Roman"/>
              </w:rPr>
              <w:t>0</w:t>
            </w:r>
            <w:r>
              <w:rPr>
                <w:rFonts w:hint="default" w:ascii="Times New Roman" w:hAnsi="Times New Roman" w:cs="Times New Roman"/>
              </w:rPr>
              <w:t>分）</w:t>
            </w:r>
          </w:p>
        </w:tc>
        <w:tc>
          <w:tcPr>
            <w:tcW w:w="6583" w:type="dxa"/>
            <w:tcBorders>
              <w:tl2br w:val="nil"/>
              <w:tr2bl w:val="nil"/>
            </w:tcBorders>
            <w:vAlign w:val="center"/>
          </w:tcPr>
          <w:p w14:paraId="0D7A7B2C">
            <w:pPr>
              <w:spacing w:line="400" w:lineRule="exact"/>
              <w:rPr>
                <w:rFonts w:hint="default" w:ascii="Times New Roman" w:hAnsi="Times New Roman" w:cs="Times New Roman"/>
                <w:szCs w:val="21"/>
              </w:rPr>
            </w:pPr>
            <w:r>
              <w:rPr>
                <w:rFonts w:hint="default" w:ascii="Times New Roman" w:hAnsi="Times New Roman" w:cs="Times New Roman"/>
                <w:szCs w:val="21"/>
              </w:rPr>
              <w:t>经评委会认定满足招标文件要求且投标价格最低的投标报价为评标基准价，其价格得分计</w:t>
            </w:r>
            <w:r>
              <w:rPr>
                <w:rFonts w:hint="eastAsia" w:cs="Times New Roman"/>
                <w:szCs w:val="21"/>
                <w:lang w:val="en-US" w:eastAsia="zh-CN"/>
              </w:rPr>
              <w:t>5</w:t>
            </w:r>
            <w:r>
              <w:rPr>
                <w:rFonts w:hint="default" w:cs="Times New Roman"/>
                <w:szCs w:val="21"/>
              </w:rPr>
              <w:t>0</w:t>
            </w:r>
            <w:r>
              <w:rPr>
                <w:rFonts w:hint="default" w:ascii="Times New Roman" w:hAnsi="Times New Roman" w:cs="Times New Roman"/>
                <w:szCs w:val="21"/>
              </w:rPr>
              <w:t>分。其他投标人的价格得分统一按公式计算：报价得分＝评标基准价÷投标报价×</w:t>
            </w:r>
            <w:r>
              <w:rPr>
                <w:rFonts w:hint="eastAsia" w:cs="Times New Roman"/>
                <w:szCs w:val="21"/>
                <w:lang w:val="en-US" w:eastAsia="zh-CN"/>
              </w:rPr>
              <w:t>5</w:t>
            </w:r>
            <w:r>
              <w:rPr>
                <w:rFonts w:hint="default" w:cs="Times New Roman"/>
                <w:szCs w:val="21"/>
              </w:rPr>
              <w:t>0。</w:t>
            </w:r>
          </w:p>
        </w:tc>
        <w:tc>
          <w:tcPr>
            <w:tcW w:w="1076" w:type="dxa"/>
            <w:tcBorders>
              <w:tl2br w:val="nil"/>
              <w:tr2bl w:val="nil"/>
            </w:tcBorders>
            <w:vAlign w:val="center"/>
          </w:tcPr>
          <w:p w14:paraId="6A8F5FA1">
            <w:pPr>
              <w:spacing w:line="400" w:lineRule="exact"/>
              <w:jc w:val="center"/>
              <w:rPr>
                <w:rFonts w:hint="default" w:ascii="Times New Roman" w:hAnsi="Times New Roman" w:cs="Times New Roman"/>
                <w:szCs w:val="21"/>
              </w:rPr>
            </w:pPr>
            <w:r>
              <w:rPr>
                <w:rFonts w:hint="eastAsia" w:cs="Times New Roman"/>
                <w:szCs w:val="21"/>
                <w:lang w:val="en-US" w:eastAsia="zh-CN"/>
              </w:rPr>
              <w:t>5</w:t>
            </w:r>
            <w:r>
              <w:rPr>
                <w:rFonts w:hint="default" w:cs="Times New Roman"/>
                <w:szCs w:val="21"/>
              </w:rPr>
              <w:t>0</w:t>
            </w:r>
          </w:p>
        </w:tc>
      </w:tr>
      <w:tr w14:paraId="7F24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1940" w:type="dxa"/>
            <w:tcBorders>
              <w:tl2br w:val="nil"/>
              <w:tr2bl w:val="nil"/>
            </w:tcBorders>
            <w:vAlign w:val="center"/>
          </w:tcPr>
          <w:p w14:paraId="441C7C0A">
            <w:pPr>
              <w:jc w:val="center"/>
              <w:rPr>
                <w:rFonts w:hint="eastAsia" w:cs="Times New Roman"/>
                <w:lang w:val="en-US" w:eastAsia="zh-CN"/>
              </w:rPr>
            </w:pPr>
            <w:r>
              <w:rPr>
                <w:rFonts w:hint="eastAsia" w:cs="Times New Roman"/>
                <w:lang w:val="en-US" w:eastAsia="zh-CN"/>
              </w:rPr>
              <w:t>技术支持</w:t>
            </w:r>
          </w:p>
          <w:p w14:paraId="6A79C9E4">
            <w:pPr>
              <w:jc w:val="center"/>
              <w:rPr>
                <w:rFonts w:hint="default" w:ascii="Times New Roman" w:hAnsi="Times New Roman" w:eastAsia="宋体" w:cs="Times New Roman"/>
                <w:lang w:val="en-US" w:eastAsia="zh-CN"/>
              </w:rPr>
            </w:pPr>
            <w:r>
              <w:rPr>
                <w:rFonts w:hint="default" w:ascii="Times New Roman" w:hAnsi="Times New Roman" w:cs="Times New Roman"/>
                <w:szCs w:val="21"/>
              </w:rPr>
              <w:t>（</w:t>
            </w:r>
            <w:r>
              <w:rPr>
                <w:rFonts w:hint="eastAsia" w:cs="Times New Roman"/>
                <w:szCs w:val="21"/>
                <w:lang w:val="en-US" w:eastAsia="zh-CN"/>
              </w:rPr>
              <w:t>3</w:t>
            </w:r>
            <w:r>
              <w:rPr>
                <w:rFonts w:hint="default" w:ascii="Times New Roman" w:hAnsi="Times New Roman" w:cs="Times New Roman"/>
                <w:szCs w:val="21"/>
              </w:rPr>
              <w:t>0分）</w:t>
            </w:r>
          </w:p>
        </w:tc>
        <w:tc>
          <w:tcPr>
            <w:tcW w:w="6583" w:type="dxa"/>
            <w:tcBorders>
              <w:tl2br w:val="nil"/>
              <w:tr2bl w:val="nil"/>
            </w:tcBorders>
            <w:vAlign w:val="center"/>
          </w:tcPr>
          <w:p w14:paraId="30B7E9A1">
            <w:pPr>
              <w:adjustRightInd w:val="0"/>
              <w:snapToGrid w:val="0"/>
              <w:spacing w:line="360" w:lineRule="auto"/>
              <w:jc w:val="left"/>
              <w:rPr>
                <w:rFonts w:hint="eastAsia" w:cs="Times New Roman"/>
                <w:szCs w:val="21"/>
                <w:lang w:val="en-US" w:eastAsia="zh-CN"/>
              </w:rPr>
            </w:pPr>
            <w:r>
              <w:rPr>
                <w:rFonts w:hint="eastAsia" w:cs="Times New Roman"/>
                <w:szCs w:val="21"/>
                <w:lang w:val="en-US" w:eastAsia="zh-CN"/>
              </w:rPr>
              <w:t>投标人应有专业技术团队，并提供</w:t>
            </w:r>
            <w:r>
              <w:rPr>
                <w:rFonts w:hint="eastAsia" w:ascii="Times New Roman" w:hAnsi="Times New Roman" w:cs="Times New Roman"/>
                <w:szCs w:val="21"/>
                <w:lang w:val="en-US" w:eastAsia="zh-CN"/>
              </w:rPr>
              <w:t>科学合理的</w:t>
            </w:r>
            <w:r>
              <w:rPr>
                <w:rFonts w:hint="eastAsia" w:cs="Times New Roman"/>
                <w:szCs w:val="21"/>
                <w:lang w:val="en-US" w:eastAsia="zh-CN"/>
              </w:rPr>
              <w:t>技术</w:t>
            </w:r>
            <w:r>
              <w:rPr>
                <w:rFonts w:hint="eastAsia" w:ascii="Times New Roman" w:hAnsi="Times New Roman" w:cs="Times New Roman"/>
                <w:szCs w:val="21"/>
                <w:lang w:val="en-US" w:eastAsia="zh-CN"/>
              </w:rPr>
              <w:t>保障方案</w:t>
            </w:r>
            <w:r>
              <w:rPr>
                <w:rFonts w:hint="eastAsia" w:cs="Times New Roman"/>
                <w:szCs w:val="21"/>
                <w:lang w:val="en-US" w:eastAsia="zh-CN"/>
              </w:rPr>
              <w:t>，确保湖南自贸试验区官网长期稳定运行：</w:t>
            </w:r>
          </w:p>
          <w:p w14:paraId="64E45C35">
            <w:pPr>
              <w:adjustRightInd w:val="0"/>
              <w:snapToGrid w:val="0"/>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1）能完全满足需求且方案详尽的：计</w:t>
            </w:r>
            <w:r>
              <w:rPr>
                <w:rFonts w:hint="eastAsia" w:cs="Times New Roman"/>
                <w:szCs w:val="21"/>
                <w:lang w:val="en-US" w:eastAsia="zh-CN"/>
              </w:rPr>
              <w:t>21-3</w:t>
            </w:r>
            <w:r>
              <w:rPr>
                <w:rFonts w:hint="eastAsia" w:ascii="Times New Roman" w:hAnsi="Times New Roman" w:cs="Times New Roman"/>
                <w:szCs w:val="21"/>
                <w:lang w:val="en-US" w:eastAsia="zh-CN"/>
              </w:rPr>
              <w:t>0分；</w:t>
            </w:r>
          </w:p>
          <w:p w14:paraId="2E274EBC">
            <w:pPr>
              <w:adjustRightInd w:val="0"/>
              <w:snapToGrid w:val="0"/>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2）完全满足需求但方案不够详尽：计</w:t>
            </w:r>
            <w:r>
              <w:rPr>
                <w:rFonts w:hint="eastAsia" w:cs="Times New Roman"/>
                <w:szCs w:val="21"/>
                <w:lang w:val="en-US" w:eastAsia="zh-CN"/>
              </w:rPr>
              <w:t>11-20</w:t>
            </w:r>
            <w:r>
              <w:rPr>
                <w:rFonts w:hint="eastAsia" w:ascii="Times New Roman" w:hAnsi="Times New Roman" w:cs="Times New Roman"/>
                <w:szCs w:val="21"/>
                <w:lang w:val="en-US" w:eastAsia="zh-CN"/>
              </w:rPr>
              <w:t>分；</w:t>
            </w:r>
          </w:p>
          <w:p w14:paraId="33566031">
            <w:pPr>
              <w:adjustRightInd w:val="0"/>
              <w:snapToGrid w:val="0"/>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3）能满足部分需求且有方案的：计</w:t>
            </w:r>
            <w:r>
              <w:rPr>
                <w:rFonts w:hint="eastAsia" w:cs="Times New Roman"/>
                <w:szCs w:val="21"/>
                <w:lang w:val="en-US" w:eastAsia="zh-CN"/>
              </w:rPr>
              <w:t>1-10</w:t>
            </w:r>
            <w:r>
              <w:rPr>
                <w:rFonts w:hint="eastAsia" w:ascii="Times New Roman" w:hAnsi="Times New Roman" w:cs="Times New Roman"/>
                <w:szCs w:val="21"/>
                <w:lang w:val="en-US" w:eastAsia="zh-CN"/>
              </w:rPr>
              <w:t>分；</w:t>
            </w:r>
          </w:p>
          <w:p w14:paraId="0A6857C7">
            <w:pPr>
              <w:adjustRightInd w:val="0"/>
              <w:snapToGrid w:val="0"/>
              <w:spacing w:line="360" w:lineRule="auto"/>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4）无具体方案的：不计分</w:t>
            </w:r>
          </w:p>
        </w:tc>
        <w:tc>
          <w:tcPr>
            <w:tcW w:w="1076" w:type="dxa"/>
            <w:tcBorders>
              <w:tl2br w:val="nil"/>
              <w:tr2bl w:val="nil"/>
            </w:tcBorders>
            <w:vAlign w:val="center"/>
          </w:tcPr>
          <w:p w14:paraId="6121B420">
            <w:pPr>
              <w:spacing w:line="400" w:lineRule="exact"/>
              <w:jc w:val="center"/>
              <w:rPr>
                <w:rFonts w:hint="eastAsia" w:ascii="Times New Roman" w:hAnsi="Times New Roman" w:cs="Times New Roman"/>
                <w:szCs w:val="21"/>
                <w:lang w:val="en-US" w:eastAsia="zh-CN"/>
              </w:rPr>
            </w:pPr>
            <w:r>
              <w:rPr>
                <w:rFonts w:hint="eastAsia" w:cs="Times New Roman"/>
                <w:szCs w:val="21"/>
                <w:lang w:val="en-US" w:eastAsia="zh-CN"/>
              </w:rPr>
              <w:t>30</w:t>
            </w:r>
          </w:p>
        </w:tc>
      </w:tr>
      <w:tr w14:paraId="44E6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940" w:type="dxa"/>
            <w:tcBorders>
              <w:tl2br w:val="nil"/>
              <w:tr2bl w:val="nil"/>
            </w:tcBorders>
            <w:vAlign w:val="center"/>
          </w:tcPr>
          <w:p w14:paraId="2C302545">
            <w:pPr>
              <w:spacing w:line="40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类似业绩</w:t>
            </w:r>
          </w:p>
          <w:p w14:paraId="399B30EC">
            <w:pPr>
              <w:spacing w:line="400" w:lineRule="exact"/>
              <w:jc w:val="center"/>
              <w:rPr>
                <w:rFonts w:hint="eastAsia" w:eastAsia="宋体"/>
                <w:lang w:eastAsia="zh-CN"/>
              </w:rPr>
            </w:pPr>
            <w:r>
              <w:rPr>
                <w:rFonts w:hint="default" w:ascii="Times New Roman" w:hAnsi="Times New Roman" w:cs="Times New Roman"/>
                <w:szCs w:val="21"/>
              </w:rPr>
              <w:t>（</w:t>
            </w:r>
            <w:r>
              <w:rPr>
                <w:rFonts w:hint="eastAsia" w:cs="Times New Roman"/>
                <w:szCs w:val="21"/>
                <w:lang w:val="en-US" w:eastAsia="zh-CN"/>
              </w:rPr>
              <w:t>2</w:t>
            </w:r>
            <w:r>
              <w:rPr>
                <w:rFonts w:hint="default" w:ascii="Times New Roman" w:hAnsi="Times New Roman" w:cs="Times New Roman"/>
                <w:szCs w:val="21"/>
              </w:rPr>
              <w:t>0分）</w:t>
            </w:r>
          </w:p>
        </w:tc>
        <w:tc>
          <w:tcPr>
            <w:tcW w:w="6583" w:type="dxa"/>
            <w:tcBorders>
              <w:tl2br w:val="nil"/>
              <w:tr2bl w:val="nil"/>
            </w:tcBorders>
            <w:vAlign w:val="center"/>
          </w:tcPr>
          <w:p w14:paraId="04333F4E">
            <w:pPr>
              <w:spacing w:line="400" w:lineRule="exact"/>
              <w:rPr>
                <w:rFonts w:hint="default" w:ascii="Times New Roman" w:hAnsi="Times New Roman" w:cs="Times New Roman"/>
                <w:szCs w:val="21"/>
              </w:rPr>
            </w:pPr>
            <w:r>
              <w:rPr>
                <w:rFonts w:hint="default" w:ascii="Times New Roman" w:hAnsi="Times New Roman" w:cs="Times New Roman"/>
                <w:szCs w:val="21"/>
              </w:rPr>
              <w:t>投标单位</w:t>
            </w:r>
            <w:r>
              <w:rPr>
                <w:rFonts w:hint="eastAsia" w:cs="Times New Roman"/>
                <w:szCs w:val="21"/>
                <w:lang w:val="en-US" w:eastAsia="zh-CN"/>
              </w:rPr>
              <w:t>从2020年起</w:t>
            </w:r>
            <w:r>
              <w:rPr>
                <w:rFonts w:hint="default" w:cs="Times New Roman"/>
                <w:szCs w:val="21"/>
              </w:rPr>
              <w:t>有</w:t>
            </w:r>
            <w:r>
              <w:rPr>
                <w:rFonts w:hint="eastAsia" w:cs="Times New Roman"/>
                <w:szCs w:val="21"/>
                <w:lang w:val="en-US" w:eastAsia="zh-CN"/>
              </w:rPr>
              <w:t>政府机关相关系统维护、运营或服务</w:t>
            </w:r>
            <w:r>
              <w:rPr>
                <w:rFonts w:hint="default" w:ascii="Times New Roman" w:hAnsi="Times New Roman" w:cs="Times New Roman"/>
                <w:szCs w:val="21"/>
              </w:rPr>
              <w:t>经验</w:t>
            </w:r>
            <w:r>
              <w:rPr>
                <w:rFonts w:hint="eastAsia" w:cs="Times New Roman"/>
                <w:szCs w:val="21"/>
                <w:lang w:val="en-US" w:eastAsia="zh-CN"/>
              </w:rPr>
              <w:t>的</w:t>
            </w:r>
            <w:r>
              <w:rPr>
                <w:rFonts w:hint="default" w:ascii="Times New Roman" w:hAnsi="Times New Roman" w:cs="Times New Roman"/>
                <w:szCs w:val="21"/>
              </w:rPr>
              <w:t>，</w:t>
            </w:r>
            <w:r>
              <w:rPr>
                <w:rFonts w:hint="default" w:cs="Times New Roman"/>
                <w:szCs w:val="21"/>
              </w:rPr>
              <w:t>每1个</w:t>
            </w:r>
            <w:r>
              <w:rPr>
                <w:rFonts w:hint="default" w:ascii="Times New Roman" w:hAnsi="Times New Roman" w:cs="Times New Roman"/>
                <w:szCs w:val="21"/>
              </w:rPr>
              <w:t>得</w:t>
            </w:r>
            <w:r>
              <w:rPr>
                <w:rFonts w:hint="eastAsia" w:cs="Times New Roman"/>
                <w:szCs w:val="21"/>
                <w:lang w:val="en-US" w:eastAsia="zh-CN"/>
              </w:rPr>
              <w:t>4</w:t>
            </w:r>
            <w:r>
              <w:rPr>
                <w:rFonts w:hint="default" w:ascii="Times New Roman" w:hAnsi="Times New Roman" w:cs="Times New Roman"/>
                <w:szCs w:val="21"/>
              </w:rPr>
              <w:t>分</w:t>
            </w:r>
            <w:r>
              <w:rPr>
                <w:rFonts w:hint="default" w:cs="Times New Roman"/>
                <w:szCs w:val="21"/>
              </w:rPr>
              <w:t>，最多不超过</w:t>
            </w:r>
            <w:r>
              <w:rPr>
                <w:rFonts w:hint="eastAsia" w:cs="Times New Roman"/>
                <w:szCs w:val="21"/>
                <w:lang w:val="en-US" w:eastAsia="zh-CN"/>
              </w:rPr>
              <w:t>20</w:t>
            </w:r>
            <w:r>
              <w:rPr>
                <w:rFonts w:hint="default" w:cs="Times New Roman"/>
                <w:szCs w:val="21"/>
              </w:rPr>
              <w:t>分。</w:t>
            </w:r>
            <w:r>
              <w:rPr>
                <w:rFonts w:hint="default" w:ascii="Times New Roman" w:hAnsi="Times New Roman" w:cs="Times New Roman"/>
                <w:szCs w:val="21"/>
              </w:rPr>
              <w:t>（</w:t>
            </w:r>
            <w:r>
              <w:rPr>
                <w:rFonts w:hint="default" w:cs="Times New Roman"/>
                <w:szCs w:val="21"/>
              </w:rPr>
              <w:t>需</w:t>
            </w:r>
            <w:r>
              <w:rPr>
                <w:rFonts w:hint="default" w:ascii="Times New Roman" w:hAnsi="Times New Roman" w:cs="Times New Roman"/>
                <w:szCs w:val="21"/>
              </w:rPr>
              <w:t>提供合同复印件</w:t>
            </w:r>
            <w:r>
              <w:rPr>
                <w:rFonts w:hint="eastAsia" w:cs="Times New Roman"/>
                <w:szCs w:val="21"/>
                <w:lang w:eastAsia="zh-CN"/>
              </w:rPr>
              <w:t>，</w:t>
            </w:r>
            <w:r>
              <w:rPr>
                <w:rFonts w:hint="eastAsia" w:cs="Times New Roman"/>
                <w:szCs w:val="21"/>
                <w:lang w:val="en-US" w:eastAsia="zh-CN"/>
              </w:rPr>
              <w:t>并加盖公章</w:t>
            </w:r>
            <w:r>
              <w:rPr>
                <w:rFonts w:hint="default" w:cs="Times New Roman"/>
                <w:szCs w:val="21"/>
              </w:rPr>
              <w:t>）。</w:t>
            </w:r>
          </w:p>
        </w:tc>
        <w:tc>
          <w:tcPr>
            <w:tcW w:w="1076" w:type="dxa"/>
            <w:tcBorders>
              <w:tl2br w:val="nil"/>
              <w:tr2bl w:val="nil"/>
            </w:tcBorders>
            <w:vAlign w:val="center"/>
          </w:tcPr>
          <w:p w14:paraId="15296C4C">
            <w:pPr>
              <w:spacing w:line="400" w:lineRule="exact"/>
              <w:jc w:val="center"/>
              <w:rPr>
                <w:rFonts w:hint="default" w:ascii="Times New Roman" w:hAnsi="Times New Roman" w:cs="Times New Roman"/>
                <w:szCs w:val="21"/>
              </w:rPr>
            </w:pPr>
            <w:r>
              <w:rPr>
                <w:rFonts w:hint="eastAsia" w:cs="Times New Roman"/>
                <w:szCs w:val="21"/>
                <w:lang w:val="en-US" w:eastAsia="zh-CN"/>
              </w:rPr>
              <w:t>20</w:t>
            </w:r>
          </w:p>
        </w:tc>
      </w:tr>
      <w:tr w14:paraId="435C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40" w:type="dxa"/>
            <w:tcBorders>
              <w:tl2br w:val="nil"/>
              <w:tr2bl w:val="nil"/>
            </w:tcBorders>
            <w:vAlign w:val="center"/>
          </w:tcPr>
          <w:p w14:paraId="0CEB8604">
            <w:pPr>
              <w:spacing w:line="400" w:lineRule="exact"/>
              <w:jc w:val="center"/>
              <w:rPr>
                <w:rFonts w:hint="default" w:ascii="Times New Roman" w:hAnsi="Times New Roman" w:cs="Times New Roman"/>
                <w:szCs w:val="21"/>
              </w:rPr>
            </w:pPr>
            <w:r>
              <w:rPr>
                <w:rFonts w:hint="default" w:ascii="Times New Roman" w:hAnsi="Times New Roman" w:cs="Times New Roman"/>
                <w:szCs w:val="21"/>
              </w:rPr>
              <w:t>合计</w:t>
            </w:r>
          </w:p>
        </w:tc>
        <w:tc>
          <w:tcPr>
            <w:tcW w:w="6583" w:type="dxa"/>
            <w:tcBorders>
              <w:tl2br w:val="nil"/>
              <w:tr2bl w:val="nil"/>
            </w:tcBorders>
            <w:vAlign w:val="center"/>
          </w:tcPr>
          <w:p w14:paraId="15315DC6">
            <w:pPr>
              <w:spacing w:line="400" w:lineRule="exact"/>
              <w:rPr>
                <w:rFonts w:hint="default" w:ascii="Times New Roman" w:hAnsi="Times New Roman" w:cs="Times New Roman"/>
                <w:szCs w:val="21"/>
              </w:rPr>
            </w:pPr>
          </w:p>
        </w:tc>
        <w:tc>
          <w:tcPr>
            <w:tcW w:w="1076" w:type="dxa"/>
            <w:tcBorders>
              <w:tl2br w:val="nil"/>
              <w:tr2bl w:val="nil"/>
            </w:tcBorders>
            <w:vAlign w:val="center"/>
          </w:tcPr>
          <w:p w14:paraId="1AA6765E">
            <w:pPr>
              <w:spacing w:line="400" w:lineRule="exact"/>
              <w:jc w:val="center"/>
              <w:rPr>
                <w:rFonts w:hint="default" w:ascii="Times New Roman" w:hAnsi="Times New Roman" w:cs="Times New Roman"/>
                <w:szCs w:val="21"/>
              </w:rPr>
            </w:pPr>
            <w:r>
              <w:rPr>
                <w:rFonts w:hint="default" w:ascii="Times New Roman" w:hAnsi="Times New Roman" w:cs="Times New Roman"/>
                <w:szCs w:val="21"/>
              </w:rPr>
              <w:t>100</w:t>
            </w:r>
          </w:p>
        </w:tc>
      </w:tr>
    </w:tbl>
    <w:p w14:paraId="78F1C15E">
      <w:pPr>
        <w:widowControl/>
        <w:jc w:val="left"/>
        <w:rPr>
          <w:rFonts w:ascii="Times New Roman" w:hAnsi="Times New Roman"/>
          <w:sz w:val="22"/>
        </w:rPr>
      </w:pPr>
    </w:p>
    <w:p w14:paraId="6450F178">
      <w:pPr>
        <w:pStyle w:val="3"/>
      </w:pPr>
    </w:p>
    <w:p w14:paraId="6400433E">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i w:val="0"/>
          <w:caps w:val="0"/>
          <w:color w:val="auto"/>
          <w:spacing w:val="0"/>
          <w:kern w:val="0"/>
          <w:sz w:val="32"/>
          <w:szCs w:val="32"/>
          <w:shd w:val="clear" w:fill="FFFFFF"/>
          <w:lang w:val="en-US" w:eastAsia="zh-CN" w:bidi="ar"/>
        </w:rPr>
      </w:pPr>
    </w:p>
    <w:p w14:paraId="5A3BBF5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DdmZDBkOWQxODg5NTBiOTU4ZmUzZTE0NzU2OTIifQ=="/>
  </w:docVars>
  <w:rsids>
    <w:rsidRoot w:val="DFF85DF2"/>
    <w:rsid w:val="35FE47F1"/>
    <w:rsid w:val="5ADDDBC9"/>
    <w:rsid w:val="6E4916A2"/>
    <w:rsid w:val="73F59C73"/>
    <w:rsid w:val="75CB8A4B"/>
    <w:rsid w:val="7FFC5543"/>
    <w:rsid w:val="A6DD71B8"/>
    <w:rsid w:val="DFCD0A91"/>
    <w:rsid w:val="DFF85DF2"/>
    <w:rsid w:val="EFFB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szCs w:val="22"/>
    </w:rPr>
  </w:style>
  <w:style w:type="paragraph" w:styleId="4">
    <w:name w:val="Body Text"/>
    <w:basedOn w:val="1"/>
    <w:qFormat/>
    <w:uiPriority w:val="99"/>
    <w:pPr>
      <w:spacing w:after="120"/>
    </w:pPr>
    <w:rPr>
      <w:kern w:val="0"/>
      <w:sz w:val="24"/>
    </w:rPr>
  </w:style>
  <w:style w:type="paragraph" w:styleId="5">
    <w:name w:val="Title"/>
    <w:basedOn w:val="1"/>
    <w:next w:val="1"/>
    <w:qFormat/>
    <w:uiPriority w:val="99"/>
    <w:pPr>
      <w:spacing w:before="240" w:after="60"/>
      <w:jc w:val="center"/>
      <w:outlineLvl w:val="0"/>
    </w:pPr>
    <w:rPr>
      <w:rFonts w:ascii="Cambria" w:hAnsi="Cambria" w:cs="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1435</Words>
  <Characters>1518</Characters>
  <Lines>0</Lines>
  <Paragraphs>0</Paragraphs>
  <TotalTime>4</TotalTime>
  <ScaleCrop>false</ScaleCrop>
  <LinksUpToDate>false</LinksUpToDate>
  <CharactersWithSpaces>1520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2022-06-08T19:40:00Z</dcterms:created>
  <dc:creator>罗叶叶</dc:creator>
  <cp:lastModifiedBy>胡幸子</cp:lastModifiedBy>
  <dcterms:modified xsi:type="dcterms:W3CDTF">2024-10-22T04:14:00Z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9F805C9FD91A4B70828BC47CED42F3CD_12</vt:lpwstr>
  </property>
</Properties>
</file>