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采购需求磋商文件</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一、采购项目名称</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2022年县域商业体系建设</w:t>
      </w:r>
      <w:r>
        <w:rPr>
          <w:rFonts w:hint="default" w:ascii="仿宋_GB2312" w:hAnsi="Calibri" w:eastAsia="仿宋_GB2312" w:cs="Times New Roman"/>
          <w:sz w:val="32"/>
          <w:szCs w:val="32"/>
          <w:lang w:eastAsia="zh-CN"/>
        </w:rPr>
        <w:t>项目</w:t>
      </w:r>
      <w:r>
        <w:rPr>
          <w:rFonts w:hint="eastAsia" w:ascii="仿宋_GB2312" w:hAnsi="Calibri" w:eastAsia="仿宋_GB2312" w:cs="Times New Roman"/>
          <w:sz w:val="32"/>
          <w:szCs w:val="32"/>
          <w:lang w:val="en-US" w:eastAsia="zh-CN"/>
        </w:rPr>
        <w:t>资料评审</w:t>
      </w:r>
      <w:r>
        <w:rPr>
          <w:rFonts w:hint="eastAsia" w:ascii="仿宋_GB2312" w:hAnsi="Calibri" w:eastAsia="仿宋_GB2312" w:cs="Times New Roman"/>
          <w:sz w:val="32"/>
          <w:szCs w:val="32"/>
        </w:rPr>
        <w:t>。</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r>
        <w:rPr>
          <w:rFonts w:hint="eastAsia" w:ascii="黑体" w:hAnsi="黑体" w:eastAsia="黑体"/>
          <w:sz w:val="32"/>
          <w:szCs w:val="32"/>
          <w:lang w:val="en-US" w:eastAsia="zh-CN"/>
        </w:rPr>
        <w:t xml:space="preserve"> </w:t>
      </w:r>
      <w:r>
        <w:rPr>
          <w:rFonts w:hint="default" w:ascii="黑体" w:hAnsi="黑体" w:eastAsia="黑体"/>
          <w:sz w:val="32"/>
          <w:szCs w:val="32"/>
        </w:rPr>
        <w:t>二、项目概况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根据《财政部办公厅 商务部办公厅 国家乡村振兴局综合司关于支持实施县域商业建设行动的通知》（财办建〔2022〕18号）、《</w:t>
      </w:r>
      <w:r>
        <w:rPr>
          <w:rFonts w:hint="eastAsia" w:ascii="Times New Roman" w:hAnsi="Times New Roman" w:eastAsia="仿宋_GB2312" w:cs="Times New Roman"/>
          <w:sz w:val="32"/>
          <w:szCs w:val="32"/>
        </w:rPr>
        <w:t>湖南省商务厅 湖南省财政厅 湖南省乡村振兴局关于支持实施县域商业建设行动的通知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湘商建〔2022〕3号</w:t>
      </w:r>
      <w:r>
        <w:rPr>
          <w:rFonts w:hint="default" w:ascii="Times New Roman" w:hAnsi="Times New Roman" w:eastAsia="仿宋_GB2312" w:cs="Times New Roman"/>
          <w:sz w:val="32"/>
          <w:szCs w:val="32"/>
        </w:rPr>
        <w:t>），2022-2025年我省将按照“政府引导、市场运作，突出重点、补齐短板”原则，以渠道下沉为主线，以县乡村商业网络体系和农村物流配送“三点一线”为重点，支持各县市实施县域商业建设行动。通过每年支持一批县域商业体系建设项目的方式，引导和带动各类市场主体积极参与县域商业建设行动，加快补齐农村商业设施短板，健全县乡村物流配送体系，引导商贸流通企业转型升级，推动县域商业高质量发展。</w:t>
      </w:r>
    </w:p>
    <w:p>
      <w:pPr>
        <w:keepNext w:val="0"/>
        <w:keepLines w:val="0"/>
        <w:pageBreakBefore w:val="0"/>
        <w:widowControl w:val="0"/>
        <w:kinsoku/>
        <w:wordWrap/>
        <w:overflowPunct/>
        <w:topLinePunct w:val="0"/>
        <w:autoSpaceDE/>
        <w:autoSpaceDN/>
        <w:bidi w:val="0"/>
        <w:adjustRightInd w:val="0"/>
        <w:snapToGrid w:val="0"/>
        <w:spacing w:line="500" w:lineRule="exact"/>
        <w:ind w:firstLine="441" w:firstLineChars="200"/>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lang w:val="en-US" w:eastAsia="zh-CN"/>
        </w:rPr>
        <w:t xml:space="preserve"> </w:t>
      </w:r>
      <w:r>
        <w:rPr>
          <w:rFonts w:hint="default" w:ascii="黑体" w:hAnsi="黑体" w:eastAsia="黑体"/>
          <w:sz w:val="32"/>
          <w:szCs w:val="32"/>
          <w:lang w:val="en-US" w:eastAsia="zh-CN"/>
        </w:rPr>
        <w:t xml:space="preserve"> 三、采购内容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（一）对全省118个符合申报条件的县市区（区指含有1个及以上农村的乡镇）工作方案进行评审，并出具评审结论报告。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（二）对14个市州推荐上报的约500个项目进行评审，并出具项目评审报告。审核主要内容：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1.审核申报企业是否符合申报条件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项目建设内容是否符合支持方向</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2.审核项目2022年已完成新增有效投资额及佐证材料；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3.审核项目2022年计划完成新增有效投资额及佐证材料。</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四、项目预算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经预算，此次所需经费为</w:t>
      </w:r>
      <w:r>
        <w:rPr>
          <w:rFonts w:hint="default" w:ascii="Times New Roman" w:hAnsi="Times New Roman" w:eastAsia="仿宋_GB2312" w:cs="Times New Roman"/>
          <w:sz w:val="32"/>
          <w:szCs w:val="32"/>
          <w:lang w:eastAsia="zh-CN"/>
        </w:rPr>
        <w:t>16</w:t>
      </w:r>
      <w:r>
        <w:rPr>
          <w:rFonts w:hint="eastAsia" w:ascii="Times New Roman" w:hAnsi="Times New Roman" w:eastAsia="仿宋_GB2312" w:cs="Times New Roman"/>
          <w:sz w:val="32"/>
          <w:szCs w:val="32"/>
        </w:rPr>
        <w:t>万元整。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五、项目质量标准和期限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采购标的需执行的国家相关标准、行业标准、地方标准或者其他标准、规范：《中央对地方专项转移支付绩效目标管理暂行办法》（财预〔2015〕163号）、《预算绩效管理工作考核办法》（财预〔2015〕25号）、《财政支出绩效评价管理暂行办法》（财预〔2011〕285号）等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（三）采购标的验收标准主要依据合同相关规定，期限为合同生效后20天。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（三）采购标的的其他技术、服务等要求：详见技术需求。</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六、投标人的资格要求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（一）投标人应符合《中华人民共和国政府采购法》第二十二条的规定。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（二）本次招标不接受联合体投标；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七、项目服务要求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（一）保证</w:t>
      </w:r>
      <w:r>
        <w:rPr>
          <w:rFonts w:hint="eastAsia" w:ascii="Times New Roman" w:hAnsi="Times New Roman" w:eastAsia="仿宋_GB2312" w:cs="Times New Roman"/>
          <w:sz w:val="32"/>
          <w:szCs w:val="32"/>
          <w:lang w:eastAsia="zh-CN"/>
        </w:rPr>
        <w:t>评审</w:t>
      </w:r>
      <w:r>
        <w:rPr>
          <w:rFonts w:hint="eastAsia" w:ascii="Times New Roman" w:hAnsi="Times New Roman" w:eastAsia="仿宋_GB2312" w:cs="Times New Roman"/>
          <w:sz w:val="32"/>
          <w:szCs w:val="32"/>
        </w:rPr>
        <w:t>内容和重点全面到位，相关记录要素齐全，内容真实完整，严格遵守职业准则，确保</w:t>
      </w:r>
      <w:r>
        <w:rPr>
          <w:rFonts w:hint="eastAsia" w:ascii="Times New Roman" w:hAnsi="Times New Roman" w:eastAsia="仿宋_GB2312" w:cs="Times New Roman"/>
          <w:sz w:val="32"/>
          <w:szCs w:val="32"/>
          <w:lang w:eastAsia="zh-CN"/>
        </w:rPr>
        <w:t>评审</w:t>
      </w:r>
      <w:r>
        <w:rPr>
          <w:rFonts w:hint="eastAsia" w:ascii="Times New Roman" w:hAnsi="Times New Roman" w:eastAsia="仿宋_GB2312" w:cs="Times New Roman"/>
          <w:sz w:val="32"/>
          <w:szCs w:val="32"/>
        </w:rPr>
        <w:t>报告反映的情况事实清楚，证据充分，定性准确，数据可靠、建议恰当；</w:t>
      </w:r>
      <w:r>
        <w:rPr>
          <w:rFonts w:hint="eastAsia" w:ascii="Times New Roman" w:hAnsi="Times New Roman" w:eastAsia="仿宋_GB2312" w:cs="Times New Roman"/>
          <w:sz w:val="32"/>
          <w:szCs w:val="32"/>
          <w:lang w:eastAsia="zh-CN"/>
        </w:rPr>
        <w:t>评审</w:t>
      </w:r>
      <w:r>
        <w:rPr>
          <w:rFonts w:hint="eastAsia" w:ascii="Times New Roman" w:hAnsi="Times New Roman" w:eastAsia="仿宋_GB2312" w:cs="Times New Roman"/>
          <w:sz w:val="32"/>
          <w:szCs w:val="32"/>
        </w:rPr>
        <w:t>过程中发现的重大问题应及时向采购人报告；评</w:t>
      </w:r>
      <w:r>
        <w:rPr>
          <w:rFonts w:hint="eastAsia" w:ascii="Times New Roman" w:hAnsi="Times New Roman" w:eastAsia="仿宋_GB2312" w:cs="Times New Roman"/>
          <w:sz w:val="32"/>
          <w:szCs w:val="32"/>
          <w:lang w:eastAsia="zh-CN"/>
        </w:rPr>
        <w:t>审</w:t>
      </w:r>
      <w:r>
        <w:rPr>
          <w:rFonts w:hint="eastAsia" w:ascii="Times New Roman" w:hAnsi="Times New Roman" w:eastAsia="仿宋_GB2312" w:cs="Times New Roman"/>
          <w:sz w:val="32"/>
          <w:szCs w:val="32"/>
        </w:rPr>
        <w:t>过程中发现内部控制存在缺陷，应及时向采购人反映，全面说明可能存在的缺陷并提出可行建议。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评审工</w:t>
      </w:r>
      <w:r>
        <w:rPr>
          <w:rFonts w:hint="eastAsia" w:ascii="Times New Roman" w:hAnsi="Times New Roman" w:eastAsia="仿宋_GB2312" w:cs="Times New Roman"/>
          <w:sz w:val="32"/>
          <w:szCs w:val="32"/>
        </w:rPr>
        <w:t>作应指派职业道德良好、业务水平与执行能力较强的专职职业人员进行工作。要求分成</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个项目组，每组至少</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名成员，其中不少于1名注册会计师和1名从事过</w:t>
      </w:r>
      <w:r>
        <w:rPr>
          <w:rFonts w:hint="eastAsia" w:ascii="Times New Roman" w:hAnsi="Times New Roman" w:eastAsia="仿宋_GB2312" w:cs="Times New Roman"/>
          <w:sz w:val="32"/>
          <w:szCs w:val="32"/>
          <w:lang w:eastAsia="zh-CN"/>
        </w:rPr>
        <w:t>相关项目评审</w:t>
      </w:r>
      <w:r>
        <w:rPr>
          <w:rFonts w:hint="eastAsia" w:ascii="Times New Roman" w:hAnsi="Times New Roman" w:eastAsia="仿宋_GB2312" w:cs="Times New Roman"/>
          <w:sz w:val="32"/>
          <w:szCs w:val="32"/>
        </w:rPr>
        <w:t>的专家，服务期内工作人员须保持一致，特殊情况经采购人确认批准后方可更换。若中标人配备的工作人员不符合采购人要求，采购人有权要求替换工作人员。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（三）投标人承诺在服务过程中接受采购人的工作安排并遵守廉洁从业相关规定，承诺对工作过程中获知的商业秘密进行保密。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七</w:t>
      </w:r>
      <w:r>
        <w:rPr>
          <w:rFonts w:hint="default" w:ascii="黑体" w:hAnsi="黑体" w:eastAsia="黑体"/>
          <w:sz w:val="32"/>
          <w:szCs w:val="32"/>
          <w:lang w:val="en-US" w:eastAsia="zh-CN"/>
        </w:rPr>
        <w:t>、服务周期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八、其他说明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（一）服务费结算办法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采购人收到正式报告且经评审合格后一个月内，全额支付绩效评价费用。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项目采用费用包干方式服务，供应商应根据项目要求和现场情况，详细列明项目所需的人力、物力、财力等，以及所有人工、管理、财务等所有费用。如成交，在服务过程中出现任何遗漏，均由成交人免费提供，采购人不再支付任何其他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（三）对于上述项目要求，供应商应在响应文件中进行回应，作出承诺及说明。</w:t>
      </w:r>
    </w:p>
    <w:p>
      <w:pPr>
        <w:keepNext w:val="0"/>
        <w:keepLines w:val="0"/>
        <w:pageBreakBefore w:val="0"/>
        <w:widowControl w:val="0"/>
        <w:kinsoku/>
        <w:wordWrap/>
        <w:overflowPunct/>
        <w:topLinePunct w:val="0"/>
        <w:autoSpaceDE/>
        <w:autoSpaceDN/>
        <w:bidi w:val="0"/>
        <w:adjustRightInd w:val="0"/>
        <w:snapToGrid w:val="0"/>
        <w:spacing w:line="500" w:lineRule="exact"/>
        <w:ind w:firstLine="440" w:firstLineChars="200"/>
        <w:textAlignment w:val="auto"/>
        <w:rPr>
          <w:rFonts w:hint="default" w:ascii="Times New Roman" w:hAnsi="Times New Roman" w:cs="Times New Roman"/>
          <w:sz w:val="22"/>
          <w:szCs w:val="22"/>
          <w:highlight w:val="none"/>
        </w:rPr>
      </w:pPr>
    </w:p>
    <w:p>
      <w:pPr>
        <w:pageBreakBefore w:val="0"/>
        <w:kinsoku/>
        <w:wordWrap/>
        <w:overflowPunct/>
        <w:topLinePunct w:val="0"/>
        <w:autoSpaceDE/>
        <w:autoSpaceDN/>
        <w:bidi w:val="0"/>
        <w:adjustRightInd/>
        <w:snapToGrid/>
        <w:spacing w:line="580" w:lineRule="exact"/>
        <w:textAlignment w:val="auto"/>
        <w:rPr>
          <w:rFonts w:hint="eastAsia" w:eastAsia="宋体"/>
          <w:lang w:eastAsia="zh-CN"/>
        </w:rPr>
      </w:pPr>
      <w:r>
        <w:rPr>
          <w:rFonts w:hint="eastAsia" w:ascii="Times New Roman" w:hAnsi="Times New Roman" w:cs="Times New Roman"/>
          <w:b/>
          <w:bCs/>
          <w:sz w:val="22"/>
          <w:szCs w:val="22"/>
          <w:lang w:val="en-US" w:eastAsia="zh-CN"/>
        </w:rPr>
        <w:t xml:space="preserve"> </w:t>
      </w:r>
    </w:p>
    <w:p>
      <w:pPr>
        <w:pageBreakBefore w:val="0"/>
        <w:kinsoku/>
        <w:wordWrap/>
        <w:overflowPunct/>
        <w:topLinePunct w:val="0"/>
        <w:autoSpaceDE/>
        <w:autoSpaceDN/>
        <w:bidi w:val="0"/>
        <w:adjustRightInd/>
        <w:snapToGrid/>
        <w:spacing w:line="580" w:lineRule="exact"/>
        <w:textAlignment w:val="auto"/>
      </w:pPr>
    </w:p>
    <w:p>
      <w:pPr>
        <w:pageBreakBefore w:val="0"/>
        <w:kinsoku/>
        <w:wordWrap/>
        <w:overflowPunct/>
        <w:topLinePunct w:val="0"/>
        <w:autoSpaceDE/>
        <w:autoSpaceDN/>
        <w:bidi w:val="0"/>
        <w:adjustRightInd/>
        <w:snapToGrid/>
        <w:spacing w:line="580" w:lineRule="exact"/>
        <w:textAlignment w:val="auto"/>
      </w:pPr>
    </w:p>
    <w:p>
      <w:pPr>
        <w:pageBreakBefore w:val="0"/>
        <w:kinsoku/>
        <w:wordWrap/>
        <w:overflowPunct/>
        <w:topLinePunct w:val="0"/>
        <w:autoSpaceDE/>
        <w:autoSpaceDN/>
        <w:bidi w:val="0"/>
        <w:adjustRightInd/>
        <w:snapToGrid/>
        <w:spacing w:line="580" w:lineRule="exact"/>
        <w:textAlignment w:val="auto"/>
      </w:pPr>
    </w:p>
    <w:p>
      <w:pPr>
        <w:pageBreakBefore w:val="0"/>
        <w:kinsoku/>
        <w:wordWrap/>
        <w:overflowPunct/>
        <w:topLinePunct w:val="0"/>
        <w:autoSpaceDE/>
        <w:autoSpaceDN/>
        <w:bidi w:val="0"/>
        <w:adjustRightInd/>
        <w:snapToGrid/>
        <w:spacing w:line="580" w:lineRule="exact"/>
        <w:textAlignment w:val="auto"/>
      </w:pPr>
    </w:p>
    <w:p>
      <w:pPr>
        <w:widowControl/>
        <w:adjustRightInd w:val="0"/>
        <w:snapToGrid w:val="0"/>
        <w:spacing w:line="600" w:lineRule="exact"/>
        <w:jc w:val="left"/>
        <w:rPr>
          <w:rFonts w:hint="default" w:ascii="Times New Roman" w:hAnsi="Times New Roman" w:eastAsia="宋体" w:cs="Times New Roman"/>
          <w:b/>
          <w:bCs/>
          <w:sz w:val="22"/>
          <w:szCs w:val="22"/>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ascii="宋体" w:cs="Times New Roman"/>
          <w:b/>
          <w:bCs/>
          <w:sz w:val="28"/>
          <w:szCs w:val="28"/>
        </w:rPr>
      </w:pPr>
      <w:bookmarkStart w:id="0" w:name="_GoBack"/>
      <w:bookmarkEnd w:id="0"/>
      <w:r>
        <w:rPr>
          <w:rFonts w:hint="eastAsia" w:ascii="宋体" w:hAnsi="宋体" w:cs="宋体"/>
          <w:b/>
          <w:bCs/>
          <w:sz w:val="28"/>
          <w:szCs w:val="28"/>
        </w:rPr>
        <w:t>评审因素和标准</w:t>
      </w:r>
    </w:p>
    <w:tbl>
      <w:tblPr>
        <w:tblStyle w:val="4"/>
        <w:tblpPr w:leftFromText="180" w:rightFromText="180" w:vertAnchor="text" w:horzAnchor="margin" w:tblpXSpec="center" w:tblpY="158"/>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70"/>
        <w:gridCol w:w="611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3"/>
              <w:spacing w:line="440" w:lineRule="exact"/>
              <w:jc w:val="center"/>
              <w:rPr>
                <w:rFonts w:hint="default" w:ascii="宋体" w:hAnsi="宋体" w:eastAsia="宋体" w:cs="Times New Roman"/>
                <w:sz w:val="21"/>
                <w:szCs w:val="21"/>
              </w:rPr>
            </w:pPr>
            <w:r>
              <w:rPr>
                <w:rFonts w:hint="default" w:ascii="宋体" w:hAnsi="宋体" w:cs="Times New Roman"/>
                <w:sz w:val="21"/>
                <w:szCs w:val="21"/>
              </w:rPr>
              <w:t>序号</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b/>
              </w:rPr>
            </w:pPr>
            <w:r>
              <w:rPr>
                <w:rFonts w:hint="eastAsia" w:ascii="宋体" w:hAnsi="宋体" w:eastAsia="宋体" w:cs="宋体"/>
                <w:b/>
              </w:rPr>
              <w:t>评审内容</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b/>
              </w:rPr>
            </w:pPr>
            <w:r>
              <w:rPr>
                <w:rFonts w:hint="eastAsia" w:ascii="宋体" w:hAnsi="宋体" w:eastAsia="宋体" w:cs="宋体"/>
                <w:b/>
              </w:rPr>
              <w:t>评审标准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b/>
              </w:rPr>
            </w:pPr>
            <w:r>
              <w:rPr>
                <w:rFonts w:hint="eastAsia" w:ascii="宋体" w:hAnsi="宋体" w:eastAsia="宋体"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rPr>
            </w:pPr>
            <w:r>
              <w:rPr>
                <w:rFonts w:hint="eastAsia" w:ascii="宋体" w:hAnsi="宋体" w:eastAsia="宋体" w:cs="宋体"/>
              </w:rPr>
              <w:t>1</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625" w:leftChars="1" w:hanging="623" w:hangingChars="297"/>
              <w:jc w:val="center"/>
              <w:rPr>
                <w:rFonts w:ascii="宋体" w:hAnsi="宋体" w:eastAsia="宋体" w:cs="Times New Roman"/>
              </w:rPr>
            </w:pPr>
            <w:r>
              <w:rPr>
                <w:rFonts w:hint="eastAsia" w:ascii="宋体" w:hAnsi="宋体" w:eastAsia="宋体" w:cs="宋体"/>
              </w:rPr>
              <w:t>磋商报价</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Times New Roman"/>
              </w:rPr>
            </w:pPr>
            <w:r>
              <w:rPr>
                <w:rFonts w:hint="eastAsia" w:ascii="宋体" w:hAnsi="宋体" w:eastAsia="宋体" w:cs="宋体"/>
              </w:rPr>
              <w:t>以经评委会认定满足招标文件要求且经评审后的最低投标报价为评标基准价，其价格得分计1</w:t>
            </w:r>
            <w:r>
              <w:rPr>
                <w:rFonts w:hint="default" w:ascii="宋体" w:hAnsi="宋体" w:cs="宋体"/>
              </w:rPr>
              <w:t>0</w:t>
            </w:r>
            <w:r>
              <w:rPr>
                <w:rFonts w:hint="eastAsia" w:ascii="宋体" w:hAnsi="宋体" w:eastAsia="宋体" w:cs="宋体"/>
              </w:rPr>
              <w:t>分。其他投标人的价格得分统一按公式计算：报价得分＝评标基准价÷投标报价×投标报价权重。</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Times New Roman"/>
              </w:rPr>
            </w:pPr>
            <w:r>
              <w:rPr>
                <w:rFonts w:hint="default"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7"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rPr>
            </w:pPr>
            <w:r>
              <w:rPr>
                <w:rFonts w:hint="eastAsia" w:ascii="宋体" w:hAnsi="宋体" w:eastAsia="宋体" w:cs="宋体"/>
              </w:rPr>
              <w:t>2</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rPr>
            </w:pPr>
            <w:r>
              <w:rPr>
                <w:rFonts w:hint="eastAsia" w:ascii="宋体" w:hAnsi="宋体" w:eastAsia="宋体" w:cs="宋体"/>
              </w:rPr>
              <w:t>服务方案</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right="145" w:rightChars="69"/>
              <w:jc w:val="left"/>
              <w:textAlignment w:val="center"/>
              <w:rPr>
                <w:rFonts w:hint="default" w:ascii="宋体" w:hAnsi="宋体" w:cs="宋体"/>
                <w:kern w:val="0"/>
              </w:rPr>
            </w:pPr>
            <w:r>
              <w:rPr>
                <w:rFonts w:hint="default" w:ascii="宋体" w:hAnsi="宋体" w:cs="宋体"/>
                <w:kern w:val="0"/>
              </w:rPr>
              <w:t>总体要求：评审</w:t>
            </w:r>
            <w:r>
              <w:rPr>
                <w:rFonts w:hint="eastAsia" w:ascii="宋体" w:hAnsi="宋体" w:eastAsia="宋体" w:cs="宋体"/>
                <w:kern w:val="0"/>
              </w:rPr>
              <w:t>方案</w:t>
            </w:r>
            <w:r>
              <w:rPr>
                <w:rFonts w:hint="default" w:ascii="宋体" w:hAnsi="宋体" w:cs="宋体"/>
                <w:kern w:val="0"/>
              </w:rPr>
              <w:t>科学合理，操作性，</w:t>
            </w:r>
            <w:r>
              <w:rPr>
                <w:rFonts w:hint="eastAsia" w:ascii="宋体" w:hAnsi="宋体" w:eastAsia="宋体" w:cs="宋体"/>
                <w:kern w:val="0"/>
              </w:rPr>
              <w:t>可行性</w:t>
            </w:r>
            <w:r>
              <w:rPr>
                <w:rFonts w:hint="default" w:ascii="宋体" w:hAnsi="宋体" w:cs="宋体"/>
                <w:kern w:val="0"/>
              </w:rPr>
              <w:t>强，确保在规定时间保质保量完成项目工作任务。</w:t>
            </w:r>
          </w:p>
          <w:p>
            <w:pPr>
              <w:keepNext w:val="0"/>
              <w:keepLines w:val="0"/>
              <w:pageBreakBefore w:val="0"/>
              <w:widowControl/>
              <w:kinsoku/>
              <w:wordWrap/>
              <w:overflowPunct/>
              <w:topLinePunct w:val="0"/>
              <w:autoSpaceDE/>
              <w:autoSpaceDN/>
              <w:bidi w:val="0"/>
              <w:adjustRightInd/>
              <w:snapToGrid/>
              <w:spacing w:line="340" w:lineRule="exact"/>
              <w:ind w:right="145" w:rightChars="69"/>
              <w:jc w:val="left"/>
              <w:textAlignment w:val="center"/>
              <w:rPr>
                <w:rFonts w:hint="default" w:ascii="宋体" w:hAnsi="宋体" w:cs="宋体"/>
                <w:kern w:val="0"/>
              </w:rPr>
            </w:pPr>
            <w:r>
              <w:rPr>
                <w:rFonts w:hint="default" w:ascii="宋体" w:hAnsi="宋体" w:cs="宋体"/>
                <w:kern w:val="0"/>
              </w:rPr>
              <w:t>具体要求：</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right="145" w:rightChars="69"/>
              <w:jc w:val="left"/>
              <w:textAlignment w:val="center"/>
              <w:rPr>
                <w:rFonts w:hint="eastAsia" w:ascii="宋体" w:hAnsi="宋体" w:eastAsia="宋体" w:cs="宋体"/>
                <w:kern w:val="0"/>
              </w:rPr>
            </w:pPr>
            <w:r>
              <w:rPr>
                <w:rFonts w:hint="eastAsia" w:ascii="宋体" w:hAnsi="宋体" w:eastAsia="宋体" w:cs="宋体"/>
                <w:kern w:val="0"/>
              </w:rPr>
              <w:t>项目实施方案完整、</w:t>
            </w:r>
            <w:r>
              <w:rPr>
                <w:rFonts w:hint="default" w:ascii="宋体" w:hAnsi="宋体" w:cs="宋体"/>
                <w:kern w:val="0"/>
              </w:rPr>
              <w:t>目标</w:t>
            </w:r>
            <w:r>
              <w:rPr>
                <w:rFonts w:hint="eastAsia" w:ascii="宋体" w:hAnsi="宋体" w:eastAsia="宋体" w:cs="宋体"/>
                <w:kern w:val="0"/>
              </w:rPr>
              <w:t>明确、内容清楚；</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right="145" w:rightChars="69"/>
              <w:jc w:val="left"/>
              <w:textAlignment w:val="center"/>
              <w:rPr>
                <w:rFonts w:ascii="宋体" w:hAnsi="宋体" w:eastAsia="宋体" w:cs="宋体"/>
                <w:kern w:val="0"/>
              </w:rPr>
            </w:pPr>
            <w:r>
              <w:rPr>
                <w:rFonts w:hint="eastAsia" w:ascii="宋体" w:hAnsi="宋体" w:eastAsia="宋体" w:cs="宋体"/>
                <w:kern w:val="0"/>
              </w:rPr>
              <w:t>采用的技术思路和方法清晰、合理、可行；</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right="145" w:rightChars="69"/>
              <w:jc w:val="left"/>
              <w:textAlignment w:val="center"/>
              <w:rPr>
                <w:rFonts w:ascii="宋体" w:hAnsi="宋体" w:eastAsia="宋体" w:cs="宋体"/>
                <w:kern w:val="0"/>
              </w:rPr>
            </w:pPr>
            <w:r>
              <w:rPr>
                <w:rFonts w:hint="default" w:ascii="宋体" w:hAnsi="宋体" w:cs="宋体"/>
                <w:kern w:val="0"/>
              </w:rPr>
              <w:t>工作进度和工作质量</w:t>
            </w:r>
            <w:r>
              <w:rPr>
                <w:rFonts w:hint="eastAsia" w:ascii="宋体" w:hAnsi="宋体" w:eastAsia="宋体" w:cs="宋体"/>
                <w:kern w:val="0"/>
              </w:rPr>
              <w:t>保证措施</w:t>
            </w:r>
            <w:r>
              <w:rPr>
                <w:rFonts w:hint="default" w:ascii="宋体" w:hAnsi="宋体" w:cs="宋体"/>
                <w:kern w:val="0"/>
              </w:rPr>
              <w:t>有</w:t>
            </w:r>
            <w:r>
              <w:rPr>
                <w:rFonts w:hint="eastAsia" w:ascii="宋体" w:hAnsi="宋体" w:eastAsia="宋体" w:cs="宋体"/>
                <w:kern w:val="0"/>
              </w:rPr>
              <w:t>力</w:t>
            </w:r>
            <w:r>
              <w:rPr>
                <w:rFonts w:hint="default" w:ascii="宋体" w:hAnsi="宋体" w:cs="宋体"/>
                <w:kern w:val="0"/>
              </w:rPr>
              <w:t>，能</w:t>
            </w:r>
            <w:r>
              <w:rPr>
                <w:rFonts w:hint="eastAsia" w:ascii="宋体" w:hAnsi="宋体" w:eastAsia="宋体" w:cs="宋体"/>
                <w:kern w:val="0"/>
              </w:rPr>
              <w:t>在规定时间</w:t>
            </w:r>
            <w:r>
              <w:rPr>
                <w:rFonts w:hint="default" w:ascii="宋体" w:hAnsi="宋体" w:cs="宋体"/>
                <w:kern w:val="0"/>
              </w:rPr>
              <w:t>内高标准</w:t>
            </w:r>
            <w:r>
              <w:rPr>
                <w:rFonts w:hint="eastAsia" w:ascii="宋体" w:hAnsi="宋体" w:eastAsia="宋体" w:cs="宋体"/>
                <w:kern w:val="0"/>
              </w:rPr>
              <w:t>完成项目服务</w:t>
            </w:r>
            <w:r>
              <w:rPr>
                <w:rFonts w:hint="default" w:ascii="宋体" w:hAnsi="宋体" w:cs="宋体"/>
                <w:kern w:val="0"/>
              </w:rPr>
              <w:t>，出具高质量项目评审报告。</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right="145" w:rightChars="69"/>
              <w:jc w:val="left"/>
              <w:textAlignment w:val="center"/>
              <w:rPr>
                <w:rFonts w:ascii="宋体" w:hAnsi="宋体" w:eastAsia="宋体" w:cs="宋体"/>
                <w:kern w:val="0"/>
              </w:rPr>
            </w:pPr>
            <w:r>
              <w:rPr>
                <w:rFonts w:hint="default" w:ascii="宋体" w:hAnsi="宋体" w:cs="宋体"/>
                <w:kern w:val="0"/>
              </w:rPr>
              <w:t>服务方案计分：</w:t>
            </w:r>
            <w:r>
              <w:rPr>
                <w:rFonts w:hint="eastAsia" w:ascii="宋体" w:hAnsi="宋体" w:eastAsia="宋体" w:cs="宋体"/>
                <w:kern w:val="0"/>
              </w:rPr>
              <w:t>优</w:t>
            </w:r>
            <w:r>
              <w:rPr>
                <w:rFonts w:hint="default" w:ascii="宋体" w:hAnsi="宋体" w:cs="宋体"/>
                <w:kern w:val="0"/>
              </w:rPr>
              <w:t>秀</w:t>
            </w:r>
            <w:r>
              <w:rPr>
                <w:rFonts w:hint="eastAsia" w:ascii="宋体" w:hAnsi="宋体" w:eastAsia="宋体" w:cs="宋体"/>
                <w:kern w:val="0"/>
              </w:rPr>
              <w:t>计3</w:t>
            </w:r>
            <w:r>
              <w:rPr>
                <w:rFonts w:hint="default" w:ascii="宋体" w:hAnsi="宋体" w:cs="宋体"/>
                <w:kern w:val="0"/>
              </w:rPr>
              <w:t>5</w:t>
            </w:r>
            <w:r>
              <w:rPr>
                <w:rFonts w:hint="eastAsia" w:ascii="宋体" w:hAnsi="宋体" w:eastAsia="宋体" w:cs="宋体"/>
                <w:kern w:val="0"/>
              </w:rPr>
              <w:t>-</w:t>
            </w:r>
            <w:r>
              <w:rPr>
                <w:rFonts w:hint="default" w:ascii="宋体" w:hAnsi="宋体" w:cs="宋体"/>
                <w:kern w:val="0"/>
              </w:rPr>
              <w:t>40</w:t>
            </w:r>
            <w:r>
              <w:rPr>
                <w:rFonts w:hint="eastAsia" w:ascii="宋体" w:hAnsi="宋体" w:eastAsia="宋体" w:cs="宋体"/>
                <w:kern w:val="0"/>
              </w:rPr>
              <w:t>分，良好计25-3</w:t>
            </w:r>
            <w:r>
              <w:rPr>
                <w:rFonts w:hint="default" w:ascii="宋体" w:hAnsi="宋体" w:cs="宋体"/>
                <w:kern w:val="0"/>
              </w:rPr>
              <w:t>5</w:t>
            </w:r>
            <w:r>
              <w:rPr>
                <w:rFonts w:hint="eastAsia" w:ascii="宋体" w:hAnsi="宋体" w:eastAsia="宋体" w:cs="宋体"/>
                <w:kern w:val="0"/>
              </w:rPr>
              <w:t>分，</w:t>
            </w:r>
            <w:r>
              <w:rPr>
                <w:rFonts w:hint="default" w:ascii="宋体" w:hAnsi="宋体" w:cs="宋体"/>
                <w:kern w:val="0"/>
              </w:rPr>
              <w:t>一般</w:t>
            </w:r>
            <w:r>
              <w:rPr>
                <w:rFonts w:hint="eastAsia" w:ascii="宋体" w:hAnsi="宋体" w:eastAsia="宋体" w:cs="宋体"/>
                <w:kern w:val="0"/>
              </w:rPr>
              <w:t>的计20-25分，评价为差或未提交项目实施方案的计0分。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Times New Roman"/>
              </w:rPr>
            </w:pPr>
            <w:r>
              <w:rPr>
                <w:rFonts w:hint="default"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rPr>
            </w:pPr>
            <w:r>
              <w:rPr>
                <w:rFonts w:hint="eastAsia" w:ascii="宋体" w:hAnsi="宋体" w:eastAsia="宋体" w:cs="宋体"/>
              </w:rPr>
              <w:t>3</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ascii="宋体" w:hAnsi="宋体" w:eastAsia="宋体" w:cs="Times New Roman"/>
              </w:rPr>
            </w:pPr>
            <w:r>
              <w:rPr>
                <w:rFonts w:hint="eastAsia" w:ascii="宋体" w:hAnsi="宋体" w:eastAsia="宋体" w:cs="宋体"/>
              </w:rPr>
              <w:t>技术力量</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ascii="宋体" w:hAnsi="宋体" w:eastAsia="宋体" w:cs="Times New Roman"/>
              </w:rPr>
            </w:pPr>
            <w:r>
              <w:rPr>
                <w:rFonts w:hint="eastAsia" w:ascii="宋体" w:hAnsi="宋体" w:eastAsia="宋体" w:cs="宋体"/>
              </w:rPr>
              <w:t>拟投入项目成员具有一个注册会计师资格人员计5分，最多计</w:t>
            </w:r>
            <w:r>
              <w:rPr>
                <w:rFonts w:hint="default" w:ascii="宋体" w:hAnsi="宋体" w:eastAsia="宋体" w:cs="宋体"/>
              </w:rPr>
              <w:t>20</w:t>
            </w:r>
            <w:r>
              <w:rPr>
                <w:rFonts w:hint="eastAsia" w:ascii="宋体" w:hAnsi="宋体" w:eastAsia="宋体" w:cs="宋体"/>
              </w:rPr>
              <w:t>分（提供身份证、资格证书及项目成员与投标单位签订的劳动合同复印件，否则不计分。）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Times New Roman"/>
              </w:rPr>
            </w:pPr>
            <w:r>
              <w:rPr>
                <w:rFonts w:hint="default" w:ascii="宋体" w:hAnsi="宋体"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rPr>
            </w:pPr>
            <w:r>
              <w:rPr>
                <w:rFonts w:hint="eastAsia" w:ascii="宋体" w:hAnsi="宋体" w:eastAsia="宋体" w:cs="宋体"/>
              </w:rPr>
              <w:t>4</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eastAsia="宋体" w:cs="Times New Roman"/>
              </w:rPr>
            </w:pPr>
            <w:r>
              <w:rPr>
                <w:rFonts w:hint="eastAsia" w:ascii="宋体" w:hAnsi="宋体" w:eastAsia="宋体" w:cs="宋体"/>
              </w:rPr>
              <w:t>类似业绩</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Times New Roman"/>
              </w:rPr>
            </w:pPr>
            <w:r>
              <w:rPr>
                <w:rFonts w:hint="eastAsia" w:ascii="宋体" w:hAnsi="宋体" w:eastAsia="宋体" w:cs="宋体"/>
              </w:rPr>
              <w:t>投标人有类似项目业绩的，每项业绩计</w:t>
            </w:r>
            <w:r>
              <w:rPr>
                <w:rFonts w:hint="default" w:ascii="宋体" w:hAnsi="宋体" w:cs="宋体"/>
              </w:rPr>
              <w:t>10</w:t>
            </w:r>
            <w:r>
              <w:rPr>
                <w:rFonts w:hint="eastAsia" w:ascii="宋体" w:hAnsi="宋体" w:eastAsia="宋体" w:cs="宋体"/>
              </w:rPr>
              <w:t>分，计满</w:t>
            </w:r>
            <w:r>
              <w:rPr>
                <w:rFonts w:hint="default" w:ascii="宋体" w:hAnsi="宋体" w:eastAsia="宋体" w:cs="宋体"/>
              </w:rPr>
              <w:t>20</w:t>
            </w:r>
            <w:r>
              <w:rPr>
                <w:rFonts w:hint="eastAsia" w:ascii="宋体" w:hAnsi="宋体" w:eastAsia="宋体" w:cs="宋体"/>
              </w:rPr>
              <w:t>分为止，（提供相应的业绩合同复印件，否则不计分）。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Times New Roman"/>
              </w:rPr>
            </w:pPr>
            <w:r>
              <w:rPr>
                <w:rFonts w:hint="default" w:ascii="宋体" w:hAnsi="宋体" w:eastAsia="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eastAsia="宋体" w:cs="Times New Roman"/>
              </w:rPr>
            </w:pPr>
            <w:r>
              <w:rPr>
                <w:rFonts w:hint="eastAsia" w:ascii="宋体" w:hAnsi="宋体" w:eastAsia="宋体" w:cs="宋体"/>
              </w:rPr>
              <w:t>5</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Times New Roman"/>
              </w:rPr>
            </w:pPr>
            <w:r>
              <w:rPr>
                <w:rFonts w:ascii="宋体" w:hAnsi="宋体" w:cs="Times New Roman"/>
              </w:rPr>
              <w:t>其他</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eastAsia="宋体" w:cs="Times New Roman"/>
              </w:rPr>
            </w:pPr>
            <w:r>
              <w:rPr>
                <w:rFonts w:hint="eastAsia" w:ascii="宋体" w:hAnsi="宋体" w:eastAsia="宋体" w:cs="宋体"/>
              </w:rPr>
              <w:t>已纳入</w:t>
            </w:r>
            <w:r>
              <w:rPr>
                <w:rFonts w:hint="default" w:ascii="宋体" w:hAnsi="宋体" w:cs="宋体"/>
              </w:rPr>
              <w:t>湖南省政府采购电子卖场</w:t>
            </w:r>
            <w:r>
              <w:rPr>
                <w:rFonts w:hint="eastAsia" w:ascii="宋体" w:hAnsi="宋体" w:eastAsia="宋体" w:cs="宋体"/>
              </w:rPr>
              <w:t>计</w:t>
            </w:r>
            <w:r>
              <w:rPr>
                <w:rFonts w:hint="default" w:ascii="宋体" w:hAnsi="宋体" w:eastAsia="宋体" w:cs="宋体"/>
              </w:rPr>
              <w:t>10</w:t>
            </w:r>
            <w:r>
              <w:rPr>
                <w:rFonts w:hint="eastAsia" w:ascii="宋体" w:hAnsi="宋体" w:eastAsia="宋体" w:cs="宋体"/>
              </w:rPr>
              <w:t>分，提供证明材料。</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Times New Roman"/>
              </w:rPr>
            </w:pPr>
            <w:r>
              <w:rPr>
                <w:rFonts w:hint="default" w:ascii="宋体" w:hAnsi="宋体" w:eastAsia="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Times New Roman"/>
              </w:rPr>
            </w:pPr>
            <w:r>
              <w:rPr>
                <w:rFonts w:ascii="宋体" w:hAnsi="宋体" w:cs="Times New Roman"/>
              </w:rPr>
              <w:t>合计</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宋体"/>
              </w:rPr>
            </w:pPr>
            <w:r>
              <w:rPr>
                <w:rFonts w:hint="default" w:ascii="宋体" w:hAnsi="宋体" w:cs="宋体"/>
              </w:rPr>
              <w:t>100</w:t>
            </w:r>
          </w:p>
        </w:tc>
      </w:tr>
    </w:tbl>
    <w:p>
      <w:pPr>
        <w:widowControl/>
        <w:jc w:val="left"/>
        <w:rPr>
          <w:rFonts w:hint="default" w:ascii="Times New Roman" w:hAnsi="Times New Roman" w:cs="Times New Roman"/>
          <w:sz w:val="22"/>
          <w:szCs w:val="22"/>
        </w:rPr>
      </w:pPr>
    </w:p>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CF17"/>
    <w:multiLevelType w:val="singleLevel"/>
    <w:tmpl w:val="EBE7CF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A7D7B"/>
    <w:rsid w:val="3EF657CF"/>
    <w:rsid w:val="4F9A7D7B"/>
    <w:rsid w:val="BFF33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99"/>
    <w:pPr>
      <w:spacing w:before="240" w:after="60"/>
      <w:jc w:val="center"/>
      <w:outlineLvl w:val="0"/>
    </w:pPr>
    <w:rPr>
      <w:rFonts w:ascii="Cambria" w:hAnsi="Cambria"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2022-04-22T08:51:00Z</dcterms:created>
  <dc:creator>李伟</dc:creator>
  <cp:lastModifiedBy>李伟</cp:lastModifiedBy>
  <dcterms:modified xsi:type="dcterms:W3CDTF">2022-04-21T16:59:53Z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