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湖南省</w:t>
      </w:r>
      <w:r>
        <w:rPr>
          <w:rFonts w:hint="default" w:ascii="Times New Roman" w:hAnsi="Times New Roman" w:eastAsia="方正小标宋_GBK" w:cs="Times New Roman"/>
          <w:sz w:val="40"/>
          <w:szCs w:val="40"/>
          <w:highlight w:val="none"/>
          <w:lang w:val="en-US" w:eastAsia="zh-CN"/>
        </w:rPr>
        <w:t>商务</w:t>
      </w:r>
      <w:r>
        <w:rPr>
          <w:rFonts w:hint="default" w:ascii="Times New Roman" w:hAnsi="Times New Roman" w:eastAsia="方正小标宋_GBK" w:cs="Times New Roman"/>
          <w:sz w:val="40"/>
          <w:szCs w:val="40"/>
          <w:highlight w:val="none"/>
        </w:rPr>
        <w:t>厅</w:t>
      </w:r>
      <w:r>
        <w:rPr>
          <w:rFonts w:hint="default" w:ascii="Times New Roman" w:hAnsi="Times New Roman" w:eastAsia="方正小标宋_GBK" w:cs="Times New Roman"/>
          <w:sz w:val="40"/>
          <w:szCs w:val="40"/>
          <w:highlight w:val="none"/>
          <w:lang w:eastAsia="zh-CN"/>
        </w:rPr>
        <w:t>202</w:t>
      </w:r>
      <w:r>
        <w:rPr>
          <w:rFonts w:hint="default"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rPr>
        <w:t>年度部门整体支出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绩效自评报告</w:t>
      </w:r>
    </w:p>
    <w:p>
      <w:pPr>
        <w:keepNext w:val="0"/>
        <w:keepLines w:val="0"/>
        <w:pageBreakBefore w:val="0"/>
        <w:widowControl w:val="0"/>
        <w:kinsoku/>
        <w:wordWrap/>
        <w:overflowPunct/>
        <w:topLinePunct w:val="0"/>
        <w:autoSpaceDE/>
        <w:autoSpaceDN/>
        <w:bidi w:val="0"/>
        <w:adjustRightInd/>
        <w:snapToGrid/>
        <w:spacing w:line="560" w:lineRule="exact"/>
        <w:ind w:firstLine="872"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为贯彻落实党中央、国务院和省委、省政府关于全面实施预算绩效管理决策部署，进一步规范财政资金管理</w:t>
      </w:r>
      <w:r>
        <w:rPr>
          <w:rFonts w:hint="default" w:ascii="Times New Roman" w:hAnsi="Times New Roman" w:cs="Times New Roman"/>
          <w:highlight w:val="none"/>
          <w:lang w:eastAsia="zh-CN"/>
        </w:rPr>
        <w:t>，</w:t>
      </w:r>
      <w:r>
        <w:rPr>
          <w:rFonts w:hint="default" w:ascii="Times New Roman" w:hAnsi="Times New Roman" w:cs="Times New Roman"/>
          <w:highlight w:val="none"/>
        </w:rPr>
        <w:t>强化部门绩效和责任意识，根据《湖南省财政厅关于开展202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年度省级预算部门绩效自评和部门评价的通知》（湘财绩〔202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〕2号）</w:t>
      </w:r>
      <w:r>
        <w:rPr>
          <w:rFonts w:hint="default" w:ascii="Times New Roman" w:hAnsi="Times New Roman" w:cs="Times New Roman"/>
          <w:highlight w:val="none"/>
          <w:lang w:eastAsia="zh-CN"/>
        </w:rPr>
        <w:t>、</w:t>
      </w:r>
      <w:r>
        <w:rPr>
          <w:rFonts w:hint="default" w:ascii="Times New Roman" w:hAnsi="Times New Roman" w:cs="Times New Roman"/>
          <w:highlight w:val="none"/>
        </w:rPr>
        <w:t>《湖南省省级预算部门绩效自评操作规程》（湘财绩〔2020〕5号）</w:t>
      </w:r>
      <w:r>
        <w:rPr>
          <w:rFonts w:hint="default" w:ascii="Times New Roman" w:hAnsi="Times New Roman" w:cs="Times New Roman"/>
          <w:highlight w:val="none"/>
          <w:lang w:val="en-US" w:eastAsia="zh-CN"/>
        </w:rPr>
        <w:t>相关</w:t>
      </w:r>
      <w:r>
        <w:rPr>
          <w:rFonts w:hint="default" w:ascii="Times New Roman" w:hAnsi="Times New Roman" w:cs="Times New Roman"/>
          <w:highlight w:val="none"/>
        </w:rPr>
        <w:t>要求，我厅成立了绩效自评小组，制定并下发了《湖南省商务厅关于做好2025年度部门整体支出绩效自评和配合做好专项资金财政评价工作的通知》，对</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年度部门整体支出进行了绩效自评。现将有关情况报告如下：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湖南省商务厅是主管全省商务工作的省政府组成单位，其主要职责是：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贯彻执行国家国内外贸易、国际经济合作和区域经济合作的发展战略、政策，起草我省国内外贸易、招商引资、承接产业转移、对外援助、对外投资和对外经济合作的地方性法规及规章草案、政策措施和实施办法，研究经济全球化、区域经济合作、现代流通方式的发展趋势和流通体制改革并提出建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2.负责推进流通产业结构调整，指导流通企业改革，促进商贸服务业和社区商业发展，提出促进商贸中小企业发展的政策建议，推动流通标准化和连锁经营、商业特许经营、物流配送、电子商务等现代流通方式的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3.拟订全省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4.承担牵头协调整顿和规范市场经济秩序工作的责任，拟订规范市场秩序的政策；协调全省消除地区封锁、打破行业垄断的有关工作，规范商贸企业交易行为；推动商务领域信用建设，指导商业信用销售，建立市场诚信公共服务平台；按有关规定对特殊流通行业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6.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7.贯彻执行国家对外技术贸易、出口管制以及鼓励技术和成套设备进出口的贸易政策，推进进出口贸易标准化工作；依法监督技术引进、设备进口、国家限制出口技术的工作。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8.牵头拟订服务贸易发展规划并开展相关工作；会同有关部门制定促进服务出口、服务外包的规划、政策并组织实施，推动服务外包平台建设。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9.贯彻执行我国多双边（含区域、自由贸易区）经贸合作战略和政策，推进我省与其他国家（地区）的经贸往来与投资贸易合作；牵头承担全省商务领域涉及世界贸易组织事务的相关工作，负责对外经济贸易协调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10.负责组织协调反倾销、反补贴、保障措施及其他与进出口公平贸易相关的工作，协助开展对外贸易调查和产业损害调查，指导协调产业安全应对工作。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11.宏观指导全省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省外商投资企业审批工作，规范招商引资活动；指导国家级、省级经济技术开发区的有关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12.拟订并组织实施对外经济合作政策；依法管理和监督对外承包工程、对外劳务合作等；拟订省内人员出境就业管理政策并组织实施，负责牵头外派劳务和境外就业人员的权益保护工作；拟订境外投资的管理办法和具体政策，依法核准省内企业对外投资开办企业（金融企业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13.贯彻执行国家对外援助政策和方案，协调管理全省承担的对外援助项目；协调管理多双边对我省的无偿援助和赠款（不含财政合作项下外国政府及国际金融组织的赠款）等发展合作业务。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14.贯彻执行国家对香港、澳门特别行政区和台湾地区的经贸规划、政策，指导我省对港、澳、台地区贸易和经贸合作活动，协调港、澳、台商投资管理工作。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15.负责全省对外开放口岸的规划、申报及有关审批工作；协调管理全省口岸工作，推动建立大通关机制。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16.承担会展业促进与管理有关工作，按照有关规定实施在湖南境内举办对外经济技术展览会的许可工作。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17.承担全省商务系统统计及其它信息发布工作，提供信息咨询服务，指导全省流通领域信息网络和电子商务建设。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18.承办省人民政府交办的其他事项。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highlight w:val="none"/>
        </w:rPr>
        <w:t>根据省编委核定，我厅内设办公室、人事处、综合调研处、法规处（行政审批处）、财务处、市场运行和消费促进处、市场体系建设处、流通业发展处、会展业发展处、电子商务处、服务贸易和商贸服务业处、对外贸易处、加工贸易处、投资促进处、投资管理处、园区开放发展处、自贸区综合协调处、自贸区制度创新</w:t>
      </w:r>
      <w:r>
        <w:rPr>
          <w:rFonts w:hint="default" w:ascii="Times New Roman" w:hAnsi="Times New Roman" w:cs="Times New Roman"/>
          <w:color w:val="auto"/>
          <w:highlight w:val="none"/>
        </w:rPr>
        <w:t>处、自贸区评估指导处、对外投资和经济合作处、中国-非洲经贸博览会秘书处、地区合作一处、地区合作二处、口岸国际物流发展处、口岸处、机关党委（机关纪委）、离退休人员管理服务处，</w:t>
      </w:r>
      <w:r>
        <w:rPr>
          <w:rFonts w:hint="default" w:ascii="Times New Roman" w:hAnsi="Times New Roman" w:cs="Times New Roman"/>
          <w:color w:val="auto"/>
          <w:highlight w:val="none"/>
          <w:lang w:val="en-US" w:eastAsia="zh-CN"/>
        </w:rPr>
        <w:t>以及</w:t>
      </w:r>
      <w:r>
        <w:rPr>
          <w:rFonts w:hint="default" w:ascii="Times New Roman" w:hAnsi="Times New Roman" w:cs="Times New Roman"/>
          <w:color w:val="auto"/>
          <w:highlight w:val="none"/>
        </w:rPr>
        <w:t>机关后勤服务中心、</w:t>
      </w:r>
      <w:r>
        <w:rPr>
          <w:rFonts w:hint="default" w:ascii="Times New Roman" w:hAnsi="Times New Roman" w:cs="Times New Roman"/>
          <w:color w:val="auto"/>
          <w:highlight w:val="none"/>
          <w:lang w:val="en-US" w:eastAsia="zh-CN"/>
        </w:rPr>
        <w:t>培训中心、</w:t>
      </w:r>
      <w:r>
        <w:rPr>
          <w:rFonts w:hint="default" w:ascii="Times New Roman" w:hAnsi="Times New Roman" w:cs="Times New Roman"/>
          <w:color w:val="auto"/>
          <w:highlight w:val="none"/>
        </w:rPr>
        <w:t>信息中心，共27个处室和</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个中心。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年度，我厅</w:t>
      </w:r>
      <w:r>
        <w:rPr>
          <w:rFonts w:hint="default" w:ascii="Times New Roman" w:hAnsi="Times New Roman" w:cs="Times New Roman"/>
          <w:color w:val="auto"/>
          <w:highlight w:val="none"/>
          <w:lang w:eastAsia="zh-CN"/>
        </w:rPr>
        <w:t>纳入绩效自评的</w:t>
      </w:r>
      <w:r>
        <w:rPr>
          <w:rFonts w:hint="default" w:ascii="Times New Roman" w:hAnsi="Times New Roman" w:cs="Times New Roman"/>
          <w:color w:val="auto"/>
          <w:highlight w:val="none"/>
        </w:rPr>
        <w:t>预算单位共2个，包括厅机关本级和湖南省商务服务中心，预算单位财务核算适用政府会计制度。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（三）人员情况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FangSong_GB2312" w:cs="Times New Roman"/>
          <w:highlight w:val="none"/>
          <w:lang w:eastAsia="zh-CN"/>
        </w:rPr>
      </w:pPr>
      <w:r>
        <w:rPr>
          <w:rFonts w:hint="default" w:ascii="Times New Roman" w:hAnsi="Times New Roman" w:cs="Times New Roman"/>
          <w:highlight w:val="none"/>
        </w:rPr>
        <w:t>截至</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年底，我厅实有在职人员</w:t>
      </w:r>
      <w:r>
        <w:rPr>
          <w:rFonts w:hint="default" w:ascii="Times New Roman" w:hAnsi="Times New Roman" w:cs="Times New Roman"/>
          <w:highlight w:val="none"/>
          <w:lang w:val="en-US" w:eastAsia="zh-CN"/>
        </w:rPr>
        <w:t>共</w:t>
      </w:r>
      <w:r>
        <w:rPr>
          <w:rFonts w:hint="default" w:ascii="Times New Roman" w:hAnsi="Times New Roman" w:cs="Times New Roman"/>
          <w:highlight w:val="none"/>
        </w:rPr>
        <w:t>2</w:t>
      </w:r>
      <w:r>
        <w:rPr>
          <w:rFonts w:hint="default" w:ascii="Times New Roman" w:hAnsi="Times New Roman" w:cs="Times New Roman"/>
          <w:highlight w:val="none"/>
          <w:lang w:val="en-US" w:eastAsia="zh-CN"/>
        </w:rPr>
        <w:t>52</w:t>
      </w:r>
      <w:r>
        <w:rPr>
          <w:rFonts w:hint="default" w:ascii="Times New Roman" w:hAnsi="Times New Roman" w:cs="Times New Roman"/>
          <w:highlight w:val="none"/>
        </w:rPr>
        <w:t>人，</w:t>
      </w:r>
      <w:r>
        <w:rPr>
          <w:rFonts w:hint="default" w:ascii="Times New Roman" w:hAnsi="Times New Roman" w:cs="Times New Roman"/>
          <w:highlight w:val="none"/>
          <w:lang w:val="en-US" w:eastAsia="zh-CN"/>
        </w:rPr>
        <w:t>其中</w:t>
      </w:r>
      <w:r>
        <w:rPr>
          <w:rFonts w:hint="default" w:ascii="Times New Roman" w:hAnsi="Times New Roman" w:cs="Times New Roman"/>
          <w:highlight w:val="none"/>
        </w:rPr>
        <w:t>编制内实有人数229人，</w:t>
      </w:r>
      <w:r>
        <w:rPr>
          <w:rFonts w:hint="default" w:ascii="Times New Roman" w:hAnsi="Times New Roman" w:cs="Times New Roman"/>
          <w:highlight w:val="none"/>
          <w:lang w:val="en-US" w:eastAsia="zh-CN"/>
        </w:rPr>
        <w:t>包括</w:t>
      </w:r>
      <w:r>
        <w:rPr>
          <w:rFonts w:hint="default" w:ascii="Times New Roman" w:hAnsi="Times New Roman" w:cs="Times New Roman"/>
          <w:highlight w:val="none"/>
        </w:rPr>
        <w:t>公务员15</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人，参照公务员法管理事业人员5</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人，事业管理人员和专业技术人员9人，机关和事业工人</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人</w:t>
      </w:r>
      <w:r>
        <w:rPr>
          <w:rFonts w:hint="default" w:ascii="Times New Roman" w:hAnsi="Times New Roman" w:cs="Times New Roman"/>
          <w:highlight w:val="none"/>
          <w:lang w:eastAsia="zh-CN"/>
        </w:rPr>
        <w:t>；</w:t>
      </w:r>
      <w:bookmarkStart w:id="0" w:name="_GoBack"/>
      <w:bookmarkEnd w:id="0"/>
      <w:r>
        <w:rPr>
          <w:rFonts w:hint="default" w:ascii="Times New Roman" w:hAnsi="Times New Roman" w:cs="Times New Roman"/>
          <w:highlight w:val="none"/>
          <w:lang w:val="en-US" w:eastAsia="zh-CN"/>
        </w:rPr>
        <w:t>以及</w:t>
      </w:r>
      <w:r>
        <w:rPr>
          <w:rFonts w:hint="default" w:ascii="Times New Roman" w:hAnsi="Times New Roman" w:cs="Times New Roman"/>
          <w:highlight w:val="none"/>
          <w:lang w:eastAsia="zh-CN"/>
        </w:rPr>
        <w:t>其他人员23人。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（四）绩效目标情况</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FangSong_GB2312" w:cs="Times New Roman"/>
          <w:highlight w:val="none"/>
          <w:lang w:eastAsia="zh-CN"/>
        </w:rPr>
      </w:pP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年2月，我厅在门户网站公开《湖南省商务厅</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年部门预算公开》情况，同步公布本年度部门整体支出绩效目标情况。</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部门整体支出绩效目标主要为：认真贯彻落实省委经济工作会议、全国商务工作会议等部署要求，着力扩需求、稳外贸、稳外资、强平台，高质量完成“十四五”规划目标任务，为实现“十五五”良好开局打牢基础。全年组织经贸活动对接企业30家以上，举办境内外对非经贸活动3场以上，实现对非贸易实绩企业1900家以上，全省餐饮收入增长5%以上，重点展会达成意向成交金额2000亿元以上，湖南自贸试验区影响力持续提升</w:t>
      </w:r>
      <w:r>
        <w:rPr>
          <w:rFonts w:hint="default" w:ascii="Times New Roman" w:hAnsi="Times New Roman"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val="en-US" w:eastAsia="zh-CN"/>
        </w:rPr>
        <w:t>二</w:t>
      </w:r>
      <w:r>
        <w:rPr>
          <w:rFonts w:hint="default" w:ascii="Times New Roman" w:hAnsi="Times New Roman" w:eastAsia="黑体" w:cs="Times New Roman"/>
          <w:color w:val="auto"/>
          <w:highlight w:val="none"/>
        </w:rPr>
        <w:t>、部门整体</w:t>
      </w:r>
      <w:r>
        <w:rPr>
          <w:rFonts w:hint="default" w:ascii="Times New Roman" w:hAnsi="Times New Roman" w:eastAsia="黑体" w:cs="Times New Roman"/>
          <w:color w:val="auto"/>
          <w:highlight w:val="none"/>
          <w:lang w:val="en-US" w:eastAsia="zh-CN"/>
        </w:rPr>
        <w:t>收支</w:t>
      </w:r>
      <w:r>
        <w:rPr>
          <w:rFonts w:hint="default" w:ascii="Times New Roman" w:hAnsi="Times New Roman" w:eastAsia="黑体" w:cs="Times New Roman"/>
          <w:color w:val="auto"/>
          <w:highlight w:val="none"/>
        </w:rPr>
        <w:t>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highlight w:val="none"/>
        </w:rPr>
        <w:t>（一）收入情况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年我厅全年收入</w:t>
      </w:r>
      <w:r>
        <w:rPr>
          <w:rFonts w:hint="default" w:ascii="Times New Roman" w:hAnsi="Times New Roman" w:cs="Times New Roman"/>
          <w:color w:val="auto"/>
          <w:highlight w:val="none"/>
          <w:lang w:val="en-US" w:eastAsia="zh-CN"/>
        </w:rPr>
        <w:t>决算数37</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03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93</w:t>
      </w:r>
      <w:r>
        <w:rPr>
          <w:rFonts w:hint="default" w:ascii="Times New Roman" w:hAnsi="Times New Roman" w:cs="Times New Roman"/>
          <w:color w:val="auto"/>
          <w:highlight w:val="none"/>
        </w:rPr>
        <w:t>万元，其中，一般公共预算拨款</w:t>
      </w:r>
      <w:r>
        <w:rPr>
          <w:rFonts w:hint="default" w:ascii="Times New Roman" w:hAnsi="Times New Roman" w:cs="Times New Roman"/>
          <w:color w:val="auto"/>
          <w:highlight w:val="none"/>
          <w:lang w:val="en-US" w:eastAsia="zh-CN"/>
        </w:rPr>
        <w:t>34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064.72</w:t>
      </w:r>
      <w:r>
        <w:rPr>
          <w:rFonts w:hint="default" w:ascii="Times New Roman" w:hAnsi="Times New Roman" w:cs="Times New Roman"/>
          <w:color w:val="auto"/>
          <w:highlight w:val="none"/>
        </w:rPr>
        <w:t>万元，政府性基金预算拨款0万元，国有资本经营预算拨款0万元，纳入专户管理的非税收入0万元，</w:t>
      </w:r>
      <w:r>
        <w:rPr>
          <w:rFonts w:hint="default" w:ascii="Times New Roman" w:hAnsi="Times New Roman" w:cs="Times New Roman"/>
          <w:color w:val="auto"/>
          <w:highlight w:val="none"/>
          <w:lang w:val="en-US" w:eastAsia="zh-CN"/>
        </w:rPr>
        <w:t>其他收入6.82万元，</w:t>
      </w:r>
      <w:r>
        <w:rPr>
          <w:rFonts w:hint="default" w:ascii="Times New Roman" w:hAnsi="Times New Roman" w:cs="Times New Roman"/>
          <w:color w:val="auto"/>
          <w:highlight w:val="none"/>
        </w:rPr>
        <w:t>上年结转结余3,</w:t>
      </w:r>
      <w:r>
        <w:rPr>
          <w:rFonts w:hint="default" w:ascii="Times New Roman" w:hAnsi="Times New Roman" w:cs="Times New Roman"/>
          <w:color w:val="auto"/>
          <w:highlight w:val="none"/>
          <w:lang w:val="en-US" w:eastAsia="zh-CN"/>
        </w:rPr>
        <w:t>132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39</w:t>
      </w:r>
      <w:r>
        <w:rPr>
          <w:rFonts w:hint="default" w:ascii="Times New Roman" w:hAnsi="Times New Roman" w:cs="Times New Roman"/>
          <w:color w:val="auto"/>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highlight w:val="none"/>
        </w:rPr>
        <w:t>（二）支出情况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年我厅</w:t>
      </w:r>
      <w:r>
        <w:rPr>
          <w:rFonts w:hint="default" w:ascii="Times New Roman" w:hAnsi="Times New Roman" w:cs="Times New Roman"/>
          <w:color w:val="auto"/>
          <w:highlight w:val="none"/>
          <w:lang w:val="en-US" w:eastAsia="zh-CN"/>
        </w:rPr>
        <w:t>本年</w:t>
      </w:r>
      <w:r>
        <w:rPr>
          <w:rFonts w:hint="default" w:ascii="Times New Roman" w:hAnsi="Times New Roman" w:cs="Times New Roman"/>
          <w:color w:val="auto"/>
          <w:highlight w:val="none"/>
        </w:rPr>
        <w:t>支出</w:t>
      </w:r>
      <w:r>
        <w:rPr>
          <w:rFonts w:hint="default" w:ascii="Times New Roman" w:hAnsi="Times New Roman" w:cs="Times New Roman"/>
          <w:color w:val="auto"/>
          <w:highlight w:val="none"/>
          <w:lang w:val="en-US" w:eastAsia="zh-CN"/>
        </w:rPr>
        <w:t>决算数</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606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44</w:t>
      </w:r>
      <w:r>
        <w:rPr>
          <w:rFonts w:hint="default" w:ascii="Times New Roman" w:hAnsi="Times New Roman" w:cs="Times New Roman"/>
          <w:color w:val="auto"/>
          <w:highlight w:val="none"/>
        </w:rPr>
        <w:t>万元，其中，一般公共服务支出</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619</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67</w:t>
      </w:r>
      <w:r>
        <w:rPr>
          <w:rFonts w:hint="default" w:ascii="Times New Roman" w:hAnsi="Times New Roman" w:cs="Times New Roman"/>
          <w:color w:val="auto"/>
          <w:highlight w:val="none"/>
        </w:rPr>
        <w:t>万元，教育支出</w:t>
      </w: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.6</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万元，科学技术支出3万元，社会保障和就业支出</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955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36</w:t>
      </w:r>
      <w:r>
        <w:rPr>
          <w:rFonts w:hint="default" w:ascii="Times New Roman" w:hAnsi="Times New Roman" w:cs="Times New Roman"/>
          <w:color w:val="auto"/>
          <w:highlight w:val="none"/>
        </w:rPr>
        <w:t>万元，卫生健康支出</w:t>
      </w:r>
      <w:r>
        <w:rPr>
          <w:rFonts w:hint="default" w:ascii="Times New Roman" w:hAnsi="Times New Roman" w:cs="Times New Roman"/>
          <w:color w:val="auto"/>
          <w:highlight w:val="none"/>
          <w:lang w:val="en-US" w:eastAsia="zh-CN"/>
        </w:rPr>
        <w:t>657.30</w:t>
      </w:r>
      <w:r>
        <w:rPr>
          <w:rFonts w:hint="default" w:ascii="Times New Roman" w:hAnsi="Times New Roman" w:cs="Times New Roman"/>
          <w:color w:val="auto"/>
          <w:highlight w:val="none"/>
        </w:rPr>
        <w:t>万元，商业服务等支出</w:t>
      </w:r>
      <w:r>
        <w:rPr>
          <w:rFonts w:hint="default" w:ascii="Times New Roman" w:hAnsi="Times New Roman" w:cs="Times New Roman"/>
          <w:color w:val="auto"/>
          <w:highlight w:val="none"/>
          <w:lang w:val="en-US" w:eastAsia="zh-CN"/>
        </w:rPr>
        <w:t>19</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820</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04</w:t>
      </w:r>
      <w:r>
        <w:rPr>
          <w:rFonts w:hint="default" w:ascii="Times New Roman" w:hAnsi="Times New Roman" w:cs="Times New Roman"/>
          <w:color w:val="auto"/>
          <w:highlight w:val="none"/>
        </w:rPr>
        <w:t>万元，住房保障支出5</w:t>
      </w:r>
      <w:r>
        <w:rPr>
          <w:rFonts w:hint="default" w:ascii="Times New Roman" w:hAnsi="Times New Roman" w:cs="Times New Roman"/>
          <w:color w:val="auto"/>
          <w:highlight w:val="none"/>
          <w:lang w:val="en-US" w:eastAsia="zh-CN"/>
        </w:rPr>
        <w:t>26.42</w:t>
      </w:r>
      <w:r>
        <w:rPr>
          <w:rFonts w:hint="default" w:ascii="Times New Roman" w:hAnsi="Times New Roman" w:cs="Times New Roman"/>
          <w:color w:val="auto"/>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highlight w:val="none"/>
        </w:rPr>
        <w:t>（三）结转结余情况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年我厅</w:t>
      </w:r>
      <w:r>
        <w:rPr>
          <w:rFonts w:hint="default" w:ascii="Times New Roman" w:hAnsi="Times New Roman" w:cs="Times New Roman"/>
          <w:color w:val="auto"/>
          <w:highlight w:val="none"/>
          <w:lang w:val="en-US" w:eastAsia="zh-CN"/>
        </w:rPr>
        <w:t>年</w:t>
      </w:r>
      <w:r>
        <w:rPr>
          <w:rFonts w:hint="default" w:ascii="Times New Roman" w:hAnsi="Times New Roman" w:cs="Times New Roman"/>
          <w:color w:val="auto"/>
          <w:highlight w:val="none"/>
        </w:rPr>
        <w:t>末结转和结余4,597.4</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其中财政拨款结转和结余2,996.65万元，非财政拨款结转和结余1,600.84万元</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val="en-US" w:eastAsia="zh-CN"/>
        </w:rPr>
        <w:t>三</w:t>
      </w:r>
      <w:r>
        <w:rPr>
          <w:rFonts w:hint="default" w:ascii="Times New Roman" w:hAnsi="Times New Roman" w:eastAsia="黑体" w:cs="Times New Roman"/>
          <w:color w:val="auto"/>
          <w:highlight w:val="none"/>
        </w:rPr>
        <w:t>、一般公共预算支出情况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highlight w:val="none"/>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基本支出系保障我厅正常运转、完成日常工作任务而发生的各项支出，包括用于在职和离退休人员基本工资、津贴补贴等人员经费以及办公费、印刷费、水电费、办公设备购置等日常公用经费。</w:t>
      </w: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年基本支出10,394.65万元，</w:t>
      </w:r>
      <w:r>
        <w:rPr>
          <w:rFonts w:hint="default" w:ascii="Times New Roman" w:hAnsi="Times New Roman" w:cs="Times New Roman"/>
          <w:color w:val="auto"/>
          <w:highlight w:val="none"/>
          <w:lang w:val="en-US" w:eastAsia="zh-CN"/>
        </w:rPr>
        <w:t>其中</w:t>
      </w:r>
      <w:r>
        <w:rPr>
          <w:rFonts w:hint="default" w:ascii="Times New Roman" w:hAnsi="Times New Roman" w:cs="Times New Roman"/>
          <w:color w:val="auto"/>
          <w:highlight w:val="none"/>
        </w:rPr>
        <w:t>人员经费</w:t>
      </w:r>
      <w:r>
        <w:rPr>
          <w:rFonts w:hint="default" w:ascii="Times New Roman" w:hAnsi="Times New Roman" w:cs="Times New Roman"/>
          <w:color w:val="auto"/>
          <w:highlight w:val="none"/>
          <w:lang w:val="en-US" w:eastAsia="zh-CN"/>
        </w:rPr>
        <w:t>支出</w:t>
      </w:r>
      <w:r>
        <w:rPr>
          <w:rFonts w:hint="default" w:ascii="Times New Roman" w:hAnsi="Times New Roman" w:cs="Times New Roman"/>
          <w:color w:val="auto"/>
          <w:highlight w:val="none"/>
        </w:rPr>
        <w:t>9,006.37</w:t>
      </w:r>
      <w:r>
        <w:rPr>
          <w:rFonts w:hint="default" w:ascii="Times New Roman" w:hAnsi="Times New Roman" w:cs="Times New Roman"/>
          <w:color w:val="auto"/>
          <w:highlight w:val="none"/>
          <w:lang w:val="en-US" w:eastAsia="zh-CN"/>
        </w:rPr>
        <w:t>万元</w:t>
      </w:r>
      <w:r>
        <w:rPr>
          <w:rFonts w:hint="default" w:ascii="Times New Roman" w:hAnsi="Times New Roman" w:cs="Times New Roman"/>
          <w:color w:val="auto"/>
          <w:highlight w:val="none"/>
        </w:rPr>
        <w:t>，较上年</w:t>
      </w:r>
      <w:r>
        <w:rPr>
          <w:rFonts w:hint="default" w:ascii="Times New Roman" w:hAnsi="Times New Roman" w:cs="Times New Roman"/>
          <w:color w:val="auto"/>
          <w:highlight w:val="none"/>
          <w:lang w:val="en-US" w:eastAsia="zh-CN"/>
        </w:rPr>
        <w:t>增加7</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01%；</w:t>
      </w:r>
      <w:r>
        <w:rPr>
          <w:rFonts w:hint="default" w:ascii="Times New Roman" w:hAnsi="Times New Roman" w:cs="Times New Roman"/>
          <w:color w:val="auto"/>
          <w:highlight w:val="none"/>
        </w:rPr>
        <w:t>公用经费</w:t>
      </w:r>
      <w:r>
        <w:rPr>
          <w:rFonts w:hint="default" w:ascii="Times New Roman" w:hAnsi="Times New Roman" w:cs="Times New Roman"/>
          <w:color w:val="auto"/>
          <w:highlight w:val="none"/>
          <w:lang w:eastAsia="zh-CN"/>
        </w:rPr>
        <w:t>支出</w:t>
      </w:r>
      <w:r>
        <w:rPr>
          <w:rFonts w:hint="default" w:ascii="Times New Roman" w:hAnsi="Times New Roman" w:cs="Times New Roman"/>
          <w:color w:val="auto"/>
          <w:highlight w:val="none"/>
        </w:rPr>
        <w:t>1,388.28万元，较上年下降</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.8</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，主要原因是2025年度我厅编制内实有人数较2024年度增加，相应调增基本工资、津贴补贴、机关事业单位基本养老保险、职业年金、医疗保险及住房公积金等刚性支出；</w:t>
      </w:r>
      <w:r>
        <w:rPr>
          <w:rFonts w:hint="default" w:ascii="Times New Roman" w:hAnsi="Times New Roman" w:cs="Times New Roman"/>
          <w:color w:val="auto"/>
          <w:highlight w:val="none"/>
          <w:lang w:val="en-US" w:eastAsia="zh-CN"/>
        </w:rPr>
        <w:t>同时</w:t>
      </w:r>
      <w:r>
        <w:rPr>
          <w:rFonts w:hint="default" w:ascii="Times New Roman" w:hAnsi="Times New Roman" w:cs="Times New Roman"/>
          <w:color w:val="auto"/>
          <w:highlight w:val="none"/>
        </w:rPr>
        <w:t>按照党政机关“过紧日子”要求，压缩部分公用经费。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1.省级开放型与流通产业发展专项（含部门预算）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纳入本次绩效自评范围的202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年省级开放型与流通产业发展专项全年预算1</w:t>
      </w:r>
      <w:r>
        <w:rPr>
          <w:rFonts w:hint="default" w:ascii="Times New Roman" w:hAnsi="Times New Roman" w:cs="Times New Roman"/>
          <w:highlight w:val="none"/>
          <w:lang w:val="en-US" w:eastAsia="zh-CN"/>
        </w:rPr>
        <w:t>34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922</w:t>
      </w:r>
      <w:r>
        <w:rPr>
          <w:rFonts w:hint="default" w:ascii="Times New Roman" w:hAnsi="Times New Roman" w:cs="Times New Roman"/>
          <w:highlight w:val="none"/>
        </w:rPr>
        <w:t>万元，</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年实际下达资金1</w:t>
      </w:r>
      <w:r>
        <w:rPr>
          <w:rFonts w:hint="default" w:ascii="Times New Roman" w:hAnsi="Times New Roman" w:cs="Times New Roman"/>
          <w:highlight w:val="none"/>
          <w:lang w:val="en-US" w:eastAsia="zh-CN"/>
        </w:rPr>
        <w:t>34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922</w:t>
      </w:r>
      <w:r>
        <w:rPr>
          <w:rFonts w:hint="default" w:ascii="Times New Roman" w:hAnsi="Times New Roman" w:cs="Times New Roman"/>
          <w:highlight w:val="none"/>
        </w:rPr>
        <w:t>万元，按支出方向分为消费提振31,185.31万元，外贸促进18,086.79万元，招商引资18,231万元，对外经济合作6,987万元，口岸发展41,922万元，对非经贸合作2,922.9万元，自贸试验区发展13,587万元，其他2,000万元</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资金全部按时下达</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2</w:t>
      </w:r>
      <w:r>
        <w:rPr>
          <w:rFonts w:hint="default" w:ascii="Times New Roman" w:hAnsi="Times New Roman" w:cs="Times New Roman"/>
          <w:b/>
          <w:bCs/>
          <w:highlight w:val="none"/>
          <w:lang w:eastAsia="zh-CN"/>
        </w:rPr>
        <w:t>.</w:t>
      </w:r>
      <w:r>
        <w:rPr>
          <w:rFonts w:hint="default" w:ascii="Times New Roman" w:hAnsi="Times New Roman" w:cs="Times New Roman"/>
          <w:b/>
          <w:bCs/>
          <w:highlight w:val="none"/>
        </w:rPr>
        <w:t>除对市县专项转移支付资金以外的其他项目支出情况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项目支出是指为发展流通产业、对外贸易、招商引资、对外经济技术合作等发生的支出，主要用于省级重大经贸活动、重点业务工作等方面。</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年，我厅除对市县专项转移支付资金以外的其他项目支出22,211.79万元，其中商品和服务支出12</w:t>
      </w:r>
      <w:r>
        <w:rPr>
          <w:rFonts w:hint="default" w:ascii="Times New Roman" w:hAnsi="Times New Roman" w:cs="Times New Roman"/>
          <w:highlight w:val="none"/>
          <w:lang w:val="en-US" w:eastAsia="zh-CN"/>
        </w:rPr>
        <w:t>,</w:t>
      </w:r>
      <w:r>
        <w:rPr>
          <w:rFonts w:hint="default" w:ascii="Times New Roman" w:hAnsi="Times New Roman" w:cs="Times New Roman"/>
          <w:highlight w:val="none"/>
        </w:rPr>
        <w:t>655</w:t>
      </w:r>
      <w:r>
        <w:rPr>
          <w:rFonts w:hint="default" w:ascii="Times New Roman" w:hAnsi="Times New Roman" w:cs="Times New Roman"/>
          <w:highlight w:val="none"/>
          <w:lang w:val="en-US" w:eastAsia="zh-CN"/>
        </w:rPr>
        <w:t>.</w:t>
      </w:r>
      <w:r>
        <w:rPr>
          <w:rFonts w:hint="default" w:ascii="Times New Roman" w:hAnsi="Times New Roman" w:cs="Times New Roman"/>
          <w:highlight w:val="none"/>
        </w:rPr>
        <w:t>1</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万元，对个人和家庭补助支出</w:t>
      </w:r>
      <w:r>
        <w:rPr>
          <w:rFonts w:hint="default" w:ascii="Times New Roman" w:hAnsi="Times New Roman" w:cs="Times New Roman"/>
          <w:highlight w:val="none"/>
          <w:lang w:val="en-US" w:eastAsia="zh-CN"/>
        </w:rPr>
        <w:t>9,530</w:t>
      </w:r>
      <w:r>
        <w:rPr>
          <w:rFonts w:hint="default" w:ascii="Times New Roman" w:hAnsi="Times New Roman" w:cs="Times New Roman"/>
          <w:highlight w:val="none"/>
        </w:rPr>
        <w:t>.</w:t>
      </w:r>
      <w:r>
        <w:rPr>
          <w:rFonts w:hint="default" w:ascii="Times New Roman" w:hAnsi="Times New Roman" w:cs="Times New Roman"/>
          <w:highlight w:val="none"/>
          <w:lang w:val="en-US" w:eastAsia="zh-CN"/>
        </w:rPr>
        <w:t>93</w:t>
      </w:r>
      <w:r>
        <w:rPr>
          <w:rFonts w:hint="default" w:ascii="Times New Roman" w:hAnsi="Times New Roman" w:cs="Times New Roman"/>
          <w:highlight w:val="none"/>
        </w:rPr>
        <w:t>万元，资本性支出</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5.</w:t>
      </w:r>
      <w:r>
        <w:rPr>
          <w:rFonts w:hint="default" w:ascii="Times New Roman" w:hAnsi="Times New Roman" w:cs="Times New Roman"/>
          <w:highlight w:val="none"/>
          <w:lang w:val="en-US" w:eastAsia="zh-CN"/>
        </w:rPr>
        <w:t>75</w:t>
      </w:r>
      <w:r>
        <w:rPr>
          <w:rFonts w:hint="default" w:ascii="Times New Roman" w:hAnsi="Times New Roman" w:cs="Times New Roman"/>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四</w:t>
      </w:r>
      <w:r>
        <w:rPr>
          <w:rFonts w:hint="default" w:ascii="Times New Roman" w:hAnsi="Times New Roman" w:eastAsia="黑体" w:cs="Times New Roman"/>
          <w:highlight w:val="none"/>
        </w:rPr>
        <w:t>、政府性基金预算支出情况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我厅</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年未安排政府性基金预算，全年未发生相关支出。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五</w:t>
      </w:r>
      <w:r>
        <w:rPr>
          <w:rFonts w:hint="default" w:ascii="Times New Roman" w:hAnsi="Times New Roman" w:eastAsia="黑体" w:cs="Times New Roman"/>
          <w:highlight w:val="none"/>
        </w:rPr>
        <w:t>、国有资本经营预算支出情况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我厅</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年未安排国有资本经营预算，全年未发生相关支出。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六</w:t>
      </w:r>
      <w:r>
        <w:rPr>
          <w:rFonts w:hint="default" w:ascii="Times New Roman" w:hAnsi="Times New Roman" w:eastAsia="黑体" w:cs="Times New Roman"/>
          <w:highlight w:val="none"/>
        </w:rPr>
        <w:t>、社会保险基金预算支出情况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我厅</w:t>
      </w:r>
      <w:r>
        <w:rPr>
          <w:rFonts w:hint="default" w:ascii="Times New Roman" w:hAnsi="Times New Roman" w:cs="Times New Roman"/>
          <w:highlight w:val="none"/>
          <w:lang w:eastAsia="zh-CN"/>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年未安排社会保险基金预算，全年未发生相关支出。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七</w:t>
      </w:r>
      <w:r>
        <w:rPr>
          <w:rFonts w:hint="default" w:ascii="Times New Roman" w:hAnsi="Times New Roman" w:eastAsia="黑体" w:cs="Times New Roman"/>
          <w:highlight w:val="none"/>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default" w:ascii="Times New Roman" w:hAnsi="Times New Roman" w:cs="Times New Roman"/>
          <w:highlight w:val="none"/>
          <w:lang w:eastAsia="zh-CN"/>
        </w:rPr>
        <w:t>，</w:t>
      </w:r>
      <w:r>
        <w:rPr>
          <w:rFonts w:hint="default" w:ascii="Times New Roman" w:hAnsi="Times New Roman" w:cs="Times New Roman"/>
          <w:highlight w:val="none"/>
        </w:rPr>
        <w:t>我厅在习近平新时代中国特色社会主义思想指导下，深入贯彻落实习近平总书记关于湖南工作的重要讲话和指示批示精神，锚定“三高四新”美好蓝图，坚决落实省委、省政府决策部署，持续用力打造内陆地区改革开放高地，始终坚持正确的政绩观，打基础、谋创新、解难题、提质效，全省商务和开放型经济呈现向稳向实、向新向好的发展态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根据《部门整体支出绩效自评表》自评分</w:t>
      </w:r>
      <w:r>
        <w:rPr>
          <w:rFonts w:hint="default" w:ascii="Times New Roman" w:hAnsi="Times New Roman" w:cs="Times New Roman"/>
          <w:highlight w:val="none"/>
          <w:lang w:val="en-US" w:eastAsia="zh-CN"/>
        </w:rPr>
        <w:t>98.8</w:t>
      </w:r>
      <w:r>
        <w:rPr>
          <w:rFonts w:hint="default" w:ascii="Times New Roman" w:hAnsi="Times New Roman" w:cs="Times New Roman"/>
          <w:highlight w:val="none"/>
        </w:rPr>
        <w:t>分（详见附件2），部门整体支出绩效为“优”。主要工作绩效如下：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（一）聚焦聚力供需协同，消费市场有效激活。</w:t>
      </w:r>
      <w:r>
        <w:rPr>
          <w:rFonts w:hint="default" w:ascii="Times New Roman" w:hAnsi="Times New Roman" w:eastAsia="仿宋_GB2312" w:cs="Times New Roman"/>
          <w:b w:val="0"/>
          <w:bCs w:val="0"/>
          <w:highlight w:val="none"/>
        </w:rPr>
        <w:t>多措并举促消费、惠民生，持续发挥消费主引擎作用。以旧换新成效显著。全年销售906亿元，惠及超1300万人次，其中，汽车33万辆，家电677万件，3C产品346万部，家装厨卫193万件，电动自行车51万辆。服务消费丰富多元。发放服务消费券1亿元，带动餐饮、家政等消费3.7亿元。“湘超”带动关联消费超200亿元。株洲“厂BA”带动周边消费1.6亿元，入选全国消费新场景典型案例。消费场景焕新添彩。开展各类促消费活动千余场，累计带动消费超600亿元。大力培育首发经济，引进国内外知名品牌首店、旗舰店、概念店达150家。全省离境退税商店增至123家，其中即买即退商店83家，入境游客人均消费近4000元，购物消费占比大幅提升。长沙市内免税店正式开业。流通体系更加健全。长沙、岳阳、衡阳、怀化等分别入选国家现代流通体系、一刻钟便民生活圈全域推进先行区、新业态新模式新场景、国际化消费环境等试点城市。沅江、赫山、桑植等9个县市区入选全国县域商业“领跑县”，岳阳县入选全国“农村电商领跑县”。强化相关行业规范化管理，扩充流通保供骨干企业，完成冻猪肉储备6000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（二）聚焦聚力突围拓市，对外贸易质升量稳。</w:t>
      </w:r>
      <w:r>
        <w:rPr>
          <w:rFonts w:hint="default" w:ascii="Times New Roman" w:hAnsi="Times New Roman" w:eastAsia="仿宋_GB2312" w:cs="Times New Roman"/>
          <w:b w:val="0"/>
          <w:bCs w:val="0"/>
          <w:highlight w:val="none"/>
        </w:rPr>
        <w:t>多措并举推动外贸“绕道”“突围”，多个外贸领域跨越新关口，比如汽车出口额首次突破300亿元，其中电动汽车出口数量首次突破10万辆；比如有进出口实绩企业数量首次突破9000家，其中出口企业首次突破8000家。大力开拓国际市场。贸易网络覆盖全球，对118个国家和地区实现进出口增长，超百亿元贸易伙伴达16个，其中，对共建“一带一路”国家进出口占全省总值的59%，对东盟、拉美、非洲、中东等新兴市场进出口分别增长2.8%、6.6%、5.8%、2.4%。跨境电商实绩企业数达465家、实现翻番，邵阳跨境电商综试区成功获批。着力扩大产业开放。工程机械、农业机械、打火机分别出口346.8亿、7.3亿、24.6亿元，分别增长9.6%、65.6%、21%。高端装备出口181.2亿元、增长23.2%，工业机器人出口近亿元、增长82.1%。致力促进内外联动。进口实现2206.5亿元，占全省进出口总额超四成。大宗商品进口量增加28.4%，其中，金属矿砂进口量增加37.8%。半导体制造设备、航空器零部件进口值增长31.9%、26.1%，牛肉、燕窝、咖啡进口分别增长44.3%、243.4%、380.6%，有效改善了广大群众消费需求。举办内外贸一体化融合发展博览会，助力外贸企业拓展内销渠道。长沙对稳定全省外贸基本盘起到关键作用，占全省进出口总值的53%，贡献了近百亿元的外贸增量。郴州、株洲、常德、益阳、湘西、张家界进出口分别增长5.6%、6.5%、2.6%、32.6%、46.8%、119.4%。</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（三）聚焦聚力靶向攻坚，招商引资取得突破。</w:t>
      </w:r>
      <w:r>
        <w:rPr>
          <w:rFonts w:hint="default" w:ascii="Times New Roman" w:hAnsi="Times New Roman" w:eastAsia="仿宋_GB2312" w:cs="Times New Roman"/>
          <w:b w:val="0"/>
          <w:bCs w:val="0"/>
          <w:highlight w:val="none"/>
        </w:rPr>
        <w:t>严格落实招商引资“四个不得”，持续整治招商引资乱象和“内卷式”竞争，推动招商引资稳存量、扩增量、提质量。坚持项目为王。安赛乐米塔尔与湖南钢铁合作推进VAMA二期、三期，巴斯夫杉杉在湘打造全球最大的高镍正极材料生产基地，索恩格在长沙设立中国总部和研发中心并持续加大投资，锦智光电斥资百亿打造中韩智造基地，一批大项目、好项目相继落地，引进三类500强项目164个，总投资达843.8亿元。突出重点地区带动。出台对德招商工作方案和专项政策，加快建设德国中小企业总部集聚区。推动市州与重点国家建立常态化投资促进机制，设立驻德国招商代表处、阿联酋招商联络站。存量外资企业新增利润再投资1.5亿美元，占全省外资总额的18.7%。强化产业链招商。编制重点产业链“一图两库一队”，全省13条重点产业链新引进2亿元以上重大项目1170个，投资额6283.6亿元。娄底“笨办法”精准招商，引进亿元以上重大项目115个。创新招商策略。着眼“N+1”招商策略，提炼湖南“一低六好一优”综合成本优势。联合省委金融办、省发改委印发外商投资股权投资类企业指引，扩大合格境外有限合伙人（QFLP）试点范围至全省。举办“港洽周”“欧洽会”等经贸活动，全省湘商回湘投资新注册企业1990家，到位资金5785.5亿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（四）聚焦聚力投贸联动，外经合作积厚成势。</w:t>
      </w:r>
      <w:r>
        <w:rPr>
          <w:rFonts w:hint="default" w:ascii="Times New Roman" w:hAnsi="Times New Roman" w:eastAsia="仿宋_GB2312" w:cs="Times New Roman"/>
          <w:b w:val="0"/>
          <w:bCs w:val="0"/>
          <w:highlight w:val="none"/>
        </w:rPr>
        <w:t>融入共建“一带一路”打造“小而美”惠民工程，促进“抱团出海”。强化项目合作。星邦智能墨西哥工厂投产，中伟集团印尼冰镍项目、湖南旗滨马来西亚光伏产线扩建，湖南宏旺坦桑尼亚矿业开发项目、湖南裕能西班牙磷酸铁锂项目、金杯电工捷克工厂等顺利开工。对外承包工程新签合同额39亿美元、增长10.8%，完成营业额33.3亿美元、增长29.5%。强化援外优势。搭建湖南援外培训信息化平台，全年承办援外培训班155个，数量居全国地方首位。坦桑尼亚儿科能力建设项目入选国家国际发展合作署“全球发展项目库”，成为“中非健康丝绸之路”标志性成果。密克罗尼西亚联邦农业技术援助项目获国家国际发展合作署专题推介。汤加农业技术援助项目入选全球最佳减贫案例。强化市场开拓。组织企业赴卢旺达、南非、刚果（金）、津巴布韦、哈萨克斯坦、乌兹别克斯坦开展投资对接，邀请马达加斯加、坦桑尼亚政府代表团来湘考察，在哈萨克斯坦举办经贸对接会，大力拓展出海渠道。抓好风险防范。妥善处置马达加斯加政局更迭、刚果（金）武装冲突涉我省人员伤亡等突发事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（五）聚焦聚力深耕布局，对非经贸夯基立柱。</w:t>
      </w:r>
      <w:r>
        <w:rPr>
          <w:rFonts w:hint="default" w:ascii="Times New Roman" w:hAnsi="Times New Roman" w:eastAsia="仿宋_GB2312" w:cs="Times New Roman"/>
          <w:b w:val="0"/>
          <w:bCs w:val="0"/>
          <w:highlight w:val="none"/>
        </w:rPr>
        <w:t>通过健全机制、建强平台、产能合作，推动对非经贸合作走深走实。成功举办第四届中非经贸博览会。与中非合作论坛成果落实协调人部长级会议同期衔接，首次以长沙城市命名向全世界发布《中非维护全球南方团结合作的长沙宣言》，首次在北京以外到位部长级以上外国政要最多。聚焦落实中非“十大伙伴行动”，组织31场经贸活动，签约项目176个、金额113.9亿美元。中非经贸深度合作先行区建设加快推进。建立先行区建设会商机制、企业圆桌会议制度等，出台先行区支持政策。首创“非洲输华食品准入预评估制度”，扩大自非农食产品进口。设立中非经贸深度合作服务基金，创新易货贸易中信保专项险种，探索“海外仓+FTN账户+本币结算”。启动“非洲品牌仓”项目，120余款非洲品牌产品进驻各大商城。“非洲好物”“百店千品上平台”项目入围商务部“丝路电商”典型案例。会同海关、税务、外汇等部门持续优化新型易货贸易模式，对非新型易货贸易扩大到10个国家。产能合作取得突破。在16个非洲国家启动40多个产业项目，涉及农业、矿业、制造业和电商物流等，有效带动设备、物资等出口和大宗商品进口，为当地创造上万个工作岗位。岳阳、湘潭等对非经贸产业园加快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（六）聚焦聚力创新提升，自贸战略赋能增效。</w:t>
      </w:r>
      <w:r>
        <w:rPr>
          <w:rFonts w:hint="default" w:ascii="Times New Roman" w:hAnsi="Times New Roman" w:eastAsia="仿宋_GB2312" w:cs="Times New Roman"/>
          <w:b w:val="0"/>
          <w:bCs w:val="0"/>
          <w:highlight w:val="none"/>
        </w:rPr>
        <w:t>坚持以高水平制度创新破解瓶颈制约，印发自贸试验区提升战略实施方案，不断释放改革红利。制度创新有突破。全面推广77条制度型开放试点举措，“商业秘密保护新模式”“打造认证与标准国际合作新模式”“长江经济带物流通道联动发展模式”“案件审理及审判监督管理五步法改革”4项制度创新成果在全国复制推广。产业创新有提升。工程机械再制造及维修基地挂牌运营，与马来西亚标准机构签订工程机械标准准入协议。长沙片区集聚再制造维修出口企业392家，工程机械总产值占全国比重达30%。岳阳片区加速构建现代临港产业体系。郴州片区着力打造有色金属创新发展示范区。环境创新有进展。湖南（长沙）涉外中央法务区、岳阳数智法务园加快建设，中国贸促会湖南调解中心、中非庭审中心等机构落户片区。出台优化外籍人士来湘创新创业环境举措，外国人来华工作一站式服务中心累计办件7221人次。协同创新有成效。积极推进长江经济带和粤港澳大湾区国际投资贸易走廊建设，与重庆海关联合创新出口新能源汽车锂电池“分箱发运”联动监管模式，迭代升级湘粤港“跨境一锁”快速通关模式。湘琼先进制造业共建产业园引进项目32个、总投资141.5亿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bCs w:val="0"/>
          <w:highlight w:val="none"/>
        </w:rPr>
        <w:t>（七）聚焦聚力枢纽带动，口岸通道链接全球。</w:t>
      </w:r>
      <w:r>
        <w:rPr>
          <w:rFonts w:hint="default" w:ascii="Times New Roman" w:hAnsi="Times New Roman" w:eastAsia="仿宋_GB2312" w:cs="Times New Roman"/>
          <w:b w:val="0"/>
          <w:bCs w:val="0"/>
          <w:highlight w:val="none"/>
        </w:rPr>
        <w:t>坚持稳规模、优结构，国际贸易通道稳定运营，持续为企业出海赋能。中欧班列开行1057列，连续6年稳居全国第一方阵；湘粤非铁海联运开行1237列，增长13%；怀化东盟货运班列开行1220列，增长21%；岳阳城陵矶港外贸集装箱吞吐量19万标箱，下降4.8%。联合交通、发改、财政等印发中欧班列延续政策、湖南香港直通车指标管理办法、国际标准集装箱运输车辆高速公路差异化收费等政策，降低企业运输成本。长沙航空口岸出入境104.3万人次，增长5.8%；张家界航空口岸出入境国际旅客48.6万人次、下降8.6%，带动旅行服务贸易总额达4.1亿美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仿宋_GB2312" w:cs="Times New Roman"/>
          <w:b/>
          <w:bCs/>
          <w:highlight w:val="none"/>
        </w:rPr>
        <w:t>（八）聚焦聚力党建引领，作风保障全面加强。</w:t>
      </w:r>
      <w:r>
        <w:rPr>
          <w:rFonts w:hint="default" w:ascii="Times New Roman" w:hAnsi="Times New Roman" w:eastAsia="仿宋_GB2312" w:cs="Times New Roman"/>
          <w:b w:val="0"/>
          <w:bCs w:val="0"/>
          <w:highlight w:val="none"/>
        </w:rPr>
        <w:t>坚持和加强党对商务工作的全面领导，推动党的建设与商务发展深度融合。突出政治引领。全年组织党组理论学习中心组学习12次、“第一议题”学习26次，邀请专家授课辅导，开展“湘江（开放）大讲堂”5期，创新建立“三外一内一治理”学习机制，构建国际贸易通道党建协作机制。强化全面从严治党。厅党组与驻厅纪检监察组坚持主体责任和监督责任同频共振、同题共答、同向发力，建立“业务扫描+纪律体检”机制，梳理廉政风险点53个，组织开展作风纪律专项检查8次。高度重视巡视问题整改，一体推进长效整改和商务发展。加强法治建设。扎实履行法治政府建设第一责任人责任，出台《湖南省开放型经济促进条例》，规范商务领域涉企行政执法。深化助企纾困。扎实开展“两稳一扩”“走找想促”“送解优”服务行动，走访企业2000余人次，协助解决企业发展困难问题233个。“产业带”上平台行动助推千余家传统企业跨境转型。提升资金使用效能。统筹上年结余结转资金1248万元，保障重点方向。精打细算过紧日子，从严控制行政运行支出，一般性支出预算较上年压减9.6%，会议费、培训费、差旅费等支出较上年同期减少53.2%、75.5%、8.6%。持续为基层减负赋能。“三类”发文12份、下降52%，公务接待、商务接待下降39.5%、3.7%。同时，认真做好生活必需品市场保供、安全生产、信访维稳、机关建设、工青妇、老干等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八</w:t>
      </w:r>
      <w:r>
        <w:rPr>
          <w:rFonts w:hint="default" w:ascii="Times New Roman" w:hAnsi="Times New Roman" w:eastAsia="黑体" w:cs="Times New Roman"/>
          <w:highlight w:val="none"/>
        </w:rPr>
        <w:t>、存在的问题及原因分析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我厅2025年度年初预算编制精准度有待提高，部分项目资金存在预算执行率不高，年终预算调整较多等情况。主要原因有：</w:t>
      </w:r>
      <w:r>
        <w:rPr>
          <w:rFonts w:hint="default" w:ascii="Times New Roman" w:hAnsi="Times New Roman" w:cs="Times New Roman"/>
          <w:highlight w:val="none"/>
          <w:lang w:eastAsia="zh-CN"/>
        </w:rPr>
        <w:t>年中追加的项目活动较多</w:t>
      </w:r>
      <w:r>
        <w:rPr>
          <w:rFonts w:hint="default" w:ascii="Times New Roman" w:hAnsi="Times New Roman" w:cs="Times New Roman"/>
          <w:highlight w:val="none"/>
        </w:rPr>
        <w:t>，部分项目未能提前做好详细规划和准备工作。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九</w:t>
      </w:r>
      <w:r>
        <w:rPr>
          <w:rFonts w:hint="default" w:ascii="Times New Roman" w:hAnsi="Times New Roman" w:eastAsia="黑体" w:cs="Times New Roman"/>
          <w:highlight w:val="none"/>
        </w:rPr>
        <w:t>、下一步改进措施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FangSong_GB2312" w:cs="Times New Roman"/>
          <w:b w:val="0"/>
          <w:bCs w:val="0"/>
          <w:highlight w:val="none"/>
        </w:rPr>
      </w:pPr>
      <w:r>
        <w:rPr>
          <w:rFonts w:hint="default" w:ascii="Times New Roman" w:hAnsi="Times New Roman" w:cs="Times New Roman"/>
          <w:highlight w:val="none"/>
        </w:rPr>
        <w:t>针对以上存在的问题，我厅接下来将会从以下方面着手改进：一是提高预算编制精准度。落实过紧日子要求，严控“三公”经费、办公经费、会议费及培训费等一般性支出，按照政策规定和支出标准，合理预估老干部医疗费、抚恤金等支出，确保基本支出预算不留硬缺口。参照往年支出情况和行业标准，从紧安排项目支出预算，压减非必要、非刚性的项目支出。编细编实政府采购预算，确保采购预算与实际需求相匹配。二是加快资金执行。加强工作提前谋划，及时制定重点事项清单，提早完成政策制定、预算评审等，为预算安排打下基础。加强内部沟通协调和与省财政厅的工作对接，提升预算执行效率。三是加强监督检查和问题整改。配合审计、财政等部门开展审计、绩效评价、财政监督等，对各类监督检查发现的问题，认真予以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十</w:t>
      </w:r>
      <w:r>
        <w:rPr>
          <w:rFonts w:hint="default" w:ascii="Times New Roman" w:hAnsi="Times New Roman" w:eastAsia="黑体" w:cs="Times New Roman"/>
          <w:highlight w:val="none"/>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（一）绩效自评结果拟应用情况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通过绩效自评，进一步分析和掌握部门整体支出使用情况和取得的效果，总结预算管理经验，发现工作中存在的问题和不足，为下一年完善预算管理、提高资金使用效益提供重要的参考依据。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w:t>
      </w:r>
      <w:r>
        <w:rPr>
          <w:rFonts w:hint="default" w:ascii="Times New Roman" w:hAnsi="Times New Roman" w:cs="Times New Roman"/>
          <w:highlight w:val="none"/>
        </w:rPr>
        <w:t>通报问题并督促整改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对于本次绩效自评过程中发现的问题，及时进行通报，明确整改要求和时限，督促其按时整改到位。对整改不落实或不到位的，将根据情况调整或收回项目资金。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highlight w:val="none"/>
          <w:lang w:eastAsia="zh-CN"/>
        </w:rPr>
        <w:t>.</w:t>
      </w:r>
      <w:r>
        <w:rPr>
          <w:rFonts w:hint="default" w:ascii="Times New Roman" w:hAnsi="Times New Roman" w:cs="Times New Roman"/>
          <w:highlight w:val="none"/>
        </w:rPr>
        <w:t>将评价结果与下一年度项目安排、资金分配挂钩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将各项目资金的绩效评价结果作为下一年度项目安排、资金分配的重要因素，对工作成效明显、资金绩效良好的预算单位及机关处室，在下一年度资金分配中予以倾斜，对于资金绩效不佳、问题较多的项目，适当压减资金分配额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rPr>
        <w:t>（二）绩效自评结果公开情况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绩效自评报告通过湖南省商务厅门户网站予以公示，向社会公开，广泛接受群众监督。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附件：1.部门整体支出绩效评价基础数据表</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3.开放型与流通产业发展专项资金绩效自评表</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rPr>
          <w:rFonts w:hint="default" w:ascii="Times New Roman" w:hAnsi="Times New Roman" w:cs="Times New Roman"/>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579" w:charSpace="-849"/>
        </w:sectPr>
      </w:pPr>
      <w:r>
        <w:rPr>
          <w:rFonts w:hint="default" w:ascii="Times New Roman" w:hAnsi="Times New Roman" w:cs="Times New Roman"/>
          <w:highlight w:val="none"/>
          <w:lang w:val="en-US" w:eastAsia="zh-CN"/>
        </w:rPr>
        <w:t>4.项目支出绩效自评表</w:t>
      </w:r>
    </w:p>
    <w:p>
      <w:pPr>
        <w:widowControl/>
        <w:spacing w:line="240" w:lineRule="auto"/>
        <w:jc w:val="left"/>
        <w:outlineLvl w:val="0"/>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rPr>
        <w:t>附件1</w:t>
      </w:r>
    </w:p>
    <w:p>
      <w:pPr>
        <w:widowControl w:val="0"/>
        <w:spacing w:after="0" w:line="560" w:lineRule="exact"/>
        <w:jc w:val="center"/>
        <w:rPr>
          <w:rFonts w:hint="default" w:ascii="Times New Roman" w:hAnsi="Times New Roman" w:eastAsia="方正小标宋简体" w:cs="Times New Roman"/>
          <w:b w:val="0"/>
          <w:bCs w:val="0"/>
          <w:kern w:val="0"/>
          <w:sz w:val="40"/>
          <w:szCs w:val="40"/>
          <w:highlight w:val="none"/>
        </w:rPr>
      </w:pPr>
      <w:r>
        <w:rPr>
          <w:rFonts w:hint="default" w:ascii="Times New Roman" w:hAnsi="Times New Roman" w:eastAsia="方正小标宋简体" w:cs="Times New Roman"/>
          <w:b w:val="0"/>
          <w:bCs w:val="0"/>
          <w:kern w:val="0"/>
          <w:sz w:val="40"/>
          <w:szCs w:val="40"/>
          <w:highlight w:val="none"/>
          <w:lang w:eastAsia="zh-CN"/>
        </w:rPr>
        <w:t>202</w:t>
      </w:r>
      <w:r>
        <w:rPr>
          <w:rFonts w:hint="default" w:ascii="Times New Roman" w:hAnsi="Times New Roman" w:eastAsia="方正小标宋简体" w:cs="Times New Roman"/>
          <w:b w:val="0"/>
          <w:bCs w:val="0"/>
          <w:kern w:val="0"/>
          <w:sz w:val="40"/>
          <w:szCs w:val="40"/>
          <w:highlight w:val="none"/>
          <w:lang w:val="en-US" w:eastAsia="zh-CN"/>
        </w:rPr>
        <w:t>5</w:t>
      </w:r>
      <w:r>
        <w:rPr>
          <w:rFonts w:hint="default" w:ascii="Times New Roman" w:hAnsi="Times New Roman" w:eastAsia="方正小标宋简体" w:cs="Times New Roman"/>
          <w:b w:val="0"/>
          <w:bCs w:val="0"/>
          <w:kern w:val="0"/>
          <w:sz w:val="40"/>
          <w:szCs w:val="40"/>
          <w:highlight w:val="none"/>
        </w:rPr>
        <w:t>年部门整体支出绩效评价基础数据表</w:t>
      </w:r>
    </w:p>
    <w:tbl>
      <w:tblPr>
        <w:tblStyle w:val="9"/>
        <w:tblW w:w="5370" w:type="pct"/>
        <w:tblInd w:w="-494" w:type="dxa"/>
        <w:tblLayout w:type="fixed"/>
        <w:tblCellMar>
          <w:top w:w="0" w:type="dxa"/>
          <w:left w:w="108" w:type="dxa"/>
          <w:bottom w:w="0" w:type="dxa"/>
          <w:right w:w="108" w:type="dxa"/>
        </w:tblCellMar>
      </w:tblPr>
      <w:tblGrid>
        <w:gridCol w:w="3483"/>
        <w:gridCol w:w="1103"/>
        <w:gridCol w:w="777"/>
        <w:gridCol w:w="1281"/>
        <w:gridCol w:w="966"/>
        <w:gridCol w:w="964"/>
        <w:gridCol w:w="1159"/>
      </w:tblGrid>
      <w:tr>
        <w:tblPrEx>
          <w:tblCellMar>
            <w:top w:w="0" w:type="dxa"/>
            <w:left w:w="108" w:type="dxa"/>
            <w:bottom w:w="0" w:type="dxa"/>
            <w:right w:w="108" w:type="dxa"/>
          </w:tblCellMar>
        </w:tblPrEx>
        <w:trPr>
          <w:trHeight w:val="23" w:hRule="atLeast"/>
        </w:trPr>
        <w:tc>
          <w:tcPr>
            <w:tcW w:w="1789"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财政供养人员情况（人）</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rPr>
              <w:t>编制数</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lang w:eastAsia="zh-CN"/>
              </w:rPr>
              <w:t>202</w:t>
            </w:r>
            <w:r>
              <w:rPr>
                <w:rFonts w:hint="default" w:ascii="Times New Roman" w:hAnsi="Times New Roman" w:eastAsia="仿宋" w:cs="Times New Roman"/>
                <w:b w:val="0"/>
                <w:bCs w:val="0"/>
                <w:kern w:val="0"/>
                <w:sz w:val="22"/>
                <w:szCs w:val="22"/>
                <w:highlight w:val="none"/>
                <w:lang w:val="en-US" w:eastAsia="zh-CN"/>
              </w:rPr>
              <w:t>5</w:t>
            </w:r>
            <w:r>
              <w:rPr>
                <w:rFonts w:hint="default" w:ascii="Times New Roman" w:hAnsi="Times New Roman" w:eastAsia="仿宋" w:cs="Times New Roman"/>
                <w:b w:val="0"/>
                <w:bCs w:val="0"/>
                <w:kern w:val="0"/>
                <w:sz w:val="22"/>
                <w:szCs w:val="22"/>
                <w:highlight w:val="none"/>
              </w:rPr>
              <w:t>年实际在职人数</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rPr>
              <w:t>控制率</w:t>
            </w:r>
          </w:p>
        </w:tc>
      </w:tr>
      <w:tr>
        <w:tblPrEx>
          <w:tblCellMar>
            <w:top w:w="0" w:type="dxa"/>
            <w:left w:w="108" w:type="dxa"/>
            <w:bottom w:w="0" w:type="dxa"/>
            <w:right w:w="108" w:type="dxa"/>
          </w:tblCellMar>
        </w:tblPrEx>
        <w:trPr>
          <w:trHeight w:val="23" w:hRule="atLeast"/>
        </w:trPr>
        <w:tc>
          <w:tcPr>
            <w:tcW w:w="1789" w:type="pct"/>
            <w:vMerge w:val="continue"/>
            <w:tcBorders>
              <w:top w:val="single" w:color="auto" w:sz="8" w:space="0"/>
              <w:left w:val="single" w:color="auto" w:sz="8" w:space="0"/>
              <w:bottom w:val="single" w:color="000000" w:sz="8" w:space="0"/>
              <w:right w:val="single" w:color="auto" w:sz="8" w:space="0"/>
            </w:tcBorders>
            <w:vAlign w:val="center"/>
          </w:tcPr>
          <w:p>
            <w:pPr>
              <w:widowControl/>
              <w:spacing w:line="0" w:lineRule="atLeast"/>
              <w:jc w:val="center"/>
              <w:rPr>
                <w:rFonts w:hint="default" w:ascii="Times New Roman" w:hAnsi="Times New Roman" w:eastAsia="仿宋" w:cs="Times New Roman"/>
                <w:kern w:val="0"/>
                <w:sz w:val="22"/>
                <w:szCs w:val="22"/>
                <w:highlight w:val="none"/>
              </w:rPr>
            </w:pP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234</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229</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9</w:t>
            </w:r>
            <w:r>
              <w:rPr>
                <w:rFonts w:hint="default" w:ascii="Times New Roman" w:hAnsi="Times New Roman" w:eastAsia="仿宋" w:cs="Times New Roman"/>
                <w:kern w:val="0"/>
                <w:sz w:val="22"/>
                <w:szCs w:val="22"/>
                <w:highlight w:val="none"/>
                <w:lang w:val="en-US" w:eastAsia="zh-CN"/>
              </w:rPr>
              <w:t>7</w:t>
            </w:r>
            <w:r>
              <w:rPr>
                <w:rFonts w:hint="default" w:ascii="Times New Roman" w:hAnsi="Times New Roman" w:eastAsia="仿宋" w:cs="Times New Roman"/>
                <w:kern w:val="0"/>
                <w:sz w:val="22"/>
                <w:szCs w:val="22"/>
                <w:highlight w:val="none"/>
              </w:rPr>
              <w:t>.</w:t>
            </w:r>
            <w:r>
              <w:rPr>
                <w:rFonts w:hint="default" w:ascii="Times New Roman" w:hAnsi="Times New Roman" w:eastAsia="仿宋" w:cs="Times New Roman"/>
                <w:kern w:val="0"/>
                <w:sz w:val="22"/>
                <w:szCs w:val="22"/>
                <w:highlight w:val="none"/>
                <w:lang w:val="en-US" w:eastAsia="zh-CN"/>
              </w:rPr>
              <w:t>86</w:t>
            </w:r>
            <w:r>
              <w:rPr>
                <w:rFonts w:hint="default" w:ascii="Times New Roman" w:hAnsi="Times New Roman" w:eastAsia="仿宋" w:cs="Times New Roman"/>
                <w:kern w:val="0"/>
                <w:sz w:val="22"/>
                <w:szCs w:val="22"/>
                <w:highlight w:val="none"/>
              </w:rPr>
              <w:t>%</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经费控制情况（万元）</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lang w:eastAsia="zh-CN"/>
              </w:rPr>
              <w:t>202</w:t>
            </w:r>
            <w:r>
              <w:rPr>
                <w:rFonts w:hint="default" w:ascii="Times New Roman" w:hAnsi="Times New Roman" w:eastAsia="仿宋" w:cs="Times New Roman"/>
                <w:b w:val="0"/>
                <w:bCs w:val="0"/>
                <w:kern w:val="0"/>
                <w:sz w:val="22"/>
                <w:szCs w:val="22"/>
                <w:highlight w:val="none"/>
                <w:lang w:val="en-US" w:eastAsia="zh-CN"/>
              </w:rPr>
              <w:t>4</w:t>
            </w:r>
            <w:r>
              <w:rPr>
                <w:rFonts w:hint="default" w:ascii="Times New Roman" w:hAnsi="Times New Roman" w:eastAsia="仿宋" w:cs="Times New Roman"/>
                <w:b w:val="0"/>
                <w:bCs w:val="0"/>
                <w:kern w:val="0"/>
                <w:sz w:val="22"/>
                <w:szCs w:val="22"/>
                <w:highlight w:val="none"/>
              </w:rPr>
              <w:t>年决算数</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lang w:eastAsia="zh-CN"/>
              </w:rPr>
              <w:t>202</w:t>
            </w:r>
            <w:r>
              <w:rPr>
                <w:rFonts w:hint="default" w:ascii="Times New Roman" w:hAnsi="Times New Roman" w:eastAsia="仿宋" w:cs="Times New Roman"/>
                <w:b w:val="0"/>
                <w:bCs w:val="0"/>
                <w:kern w:val="0"/>
                <w:sz w:val="22"/>
                <w:szCs w:val="22"/>
                <w:highlight w:val="none"/>
                <w:lang w:val="en-US" w:eastAsia="zh-CN"/>
              </w:rPr>
              <w:t>5</w:t>
            </w:r>
            <w:r>
              <w:rPr>
                <w:rFonts w:hint="default" w:ascii="Times New Roman" w:hAnsi="Times New Roman" w:eastAsia="仿宋" w:cs="Times New Roman"/>
                <w:b w:val="0"/>
                <w:bCs w:val="0"/>
                <w:kern w:val="0"/>
                <w:sz w:val="22"/>
                <w:szCs w:val="22"/>
                <w:highlight w:val="none"/>
              </w:rPr>
              <w:t>年预算数</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b w:val="0"/>
                <w:bCs w:val="0"/>
                <w:kern w:val="0"/>
                <w:sz w:val="22"/>
                <w:szCs w:val="22"/>
                <w:highlight w:val="none"/>
              </w:rPr>
            </w:pPr>
            <w:r>
              <w:rPr>
                <w:rFonts w:hint="default" w:ascii="Times New Roman" w:hAnsi="Times New Roman" w:eastAsia="仿宋" w:cs="Times New Roman"/>
                <w:b w:val="0"/>
                <w:bCs w:val="0"/>
                <w:kern w:val="0"/>
                <w:sz w:val="22"/>
                <w:szCs w:val="22"/>
                <w:highlight w:val="none"/>
                <w:lang w:eastAsia="zh-CN"/>
              </w:rPr>
              <w:t>202</w:t>
            </w:r>
            <w:r>
              <w:rPr>
                <w:rFonts w:hint="default" w:ascii="Times New Roman" w:hAnsi="Times New Roman" w:eastAsia="仿宋" w:cs="Times New Roman"/>
                <w:b w:val="0"/>
                <w:bCs w:val="0"/>
                <w:kern w:val="0"/>
                <w:sz w:val="22"/>
                <w:szCs w:val="22"/>
                <w:highlight w:val="none"/>
                <w:lang w:val="en-US" w:eastAsia="zh-CN"/>
              </w:rPr>
              <w:t>5</w:t>
            </w:r>
            <w:r>
              <w:rPr>
                <w:rFonts w:hint="default" w:ascii="Times New Roman" w:hAnsi="Times New Roman" w:eastAsia="仿宋" w:cs="Times New Roman"/>
                <w:b w:val="0"/>
                <w:bCs w:val="0"/>
                <w:kern w:val="0"/>
                <w:sz w:val="22"/>
                <w:szCs w:val="22"/>
                <w:highlight w:val="none"/>
              </w:rPr>
              <w:t>年决算数</w:t>
            </w:r>
          </w:p>
        </w:tc>
      </w:tr>
      <w:tr>
        <w:tblPrEx>
          <w:tblCellMar>
            <w:top w:w="0" w:type="dxa"/>
            <w:left w:w="108" w:type="dxa"/>
            <w:bottom w:w="0" w:type="dxa"/>
            <w:right w:w="108" w:type="dxa"/>
          </w:tblCellMar>
        </w:tblPrEx>
        <w:trPr>
          <w:trHeight w:val="301"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三公经费</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470.20</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仿宋" w:cs="Times New Roman"/>
                <w:b w:val="0"/>
                <w:bCs w:val="0"/>
                <w:color w:val="auto"/>
                <w:kern w:val="0"/>
                <w:sz w:val="22"/>
                <w:szCs w:val="22"/>
                <w:highlight w:val="none"/>
              </w:rPr>
              <w:t>743.50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521.74</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1、公务用车购置和维护经费</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39.74</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sz w:val="22"/>
                <w:szCs w:val="22"/>
              </w:rPr>
              <w:t>115.00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kern w:val="0"/>
                <w:sz w:val="22"/>
                <w:szCs w:val="22"/>
              </w:rPr>
              <w:t>48.78</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其中：公车购置</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17.98</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公车运行维护</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39.74</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sz w:val="22"/>
                <w:szCs w:val="22"/>
              </w:rPr>
              <w:t>115.00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eastAsia="zh-CN"/>
              </w:rPr>
              <w:t>3</w:t>
            </w:r>
            <w:r>
              <w:rPr>
                <w:rFonts w:hint="default" w:ascii="Times New Roman" w:hAnsi="Times New Roman" w:eastAsia="仿宋" w:cs="Times New Roman"/>
                <w:kern w:val="0"/>
                <w:sz w:val="22"/>
                <w:szCs w:val="22"/>
                <w:highlight w:val="none"/>
                <w:lang w:val="en-US" w:eastAsia="zh-CN"/>
              </w:rPr>
              <w:t>0.80</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2、出国经费</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417.20</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572.50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kern w:val="0"/>
                <w:sz w:val="22"/>
                <w:szCs w:val="22"/>
              </w:rPr>
              <w:t>455.19</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3、公务接待</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13.25</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sz w:val="22"/>
                <w:szCs w:val="22"/>
              </w:rPr>
              <w:t>56.00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ascii="Times New Roman" w:hAnsi="Times New Roman" w:eastAsia="等线" w:cs="Times New Roman"/>
                <w:color w:val="000000"/>
                <w:kern w:val="0"/>
                <w:sz w:val="22"/>
                <w:szCs w:val="22"/>
              </w:rPr>
              <w:t>17.77</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项目支出：</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p>
        </w:tc>
      </w:tr>
      <w:tr>
        <w:tblPrEx>
          <w:tblCellMar>
            <w:top w:w="0" w:type="dxa"/>
            <w:left w:w="108" w:type="dxa"/>
            <w:bottom w:w="0" w:type="dxa"/>
            <w:right w:w="108" w:type="dxa"/>
          </w:tblCellMar>
        </w:tblPrEx>
        <w:trPr>
          <w:trHeight w:val="90"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1、省级开放型与流通产业发展专项</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color w:val="auto"/>
                <w:kern w:val="0"/>
                <w:sz w:val="22"/>
                <w:szCs w:val="22"/>
                <w:highlight w:val="none"/>
              </w:rPr>
              <w:t>143,676</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eastAsia="zh-CN"/>
              </w:rPr>
            </w:pPr>
            <w:r>
              <w:rPr>
                <w:rFonts w:hint="default" w:ascii="Times New Roman" w:hAnsi="Times New Roman" w:eastAsia="仿宋" w:cs="Times New Roman"/>
                <w:kern w:val="0"/>
                <w:sz w:val="22"/>
                <w:szCs w:val="22"/>
                <w:highlight w:val="none"/>
              </w:rPr>
              <w:t>134,922</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eastAsia="zh-CN"/>
              </w:rPr>
            </w:pPr>
            <w:r>
              <w:rPr>
                <w:rFonts w:hint="default" w:ascii="Times New Roman" w:hAnsi="Times New Roman" w:eastAsia="仿宋" w:cs="Times New Roman"/>
                <w:kern w:val="0"/>
                <w:sz w:val="22"/>
                <w:szCs w:val="22"/>
                <w:highlight w:val="none"/>
              </w:rPr>
              <w:t>134,922</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2、其他</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123,00</w:t>
            </w:r>
            <w:r>
              <w:rPr>
                <w:rFonts w:hint="default" w:ascii="Times New Roman" w:hAnsi="Times New Roman" w:eastAsia="仿宋" w:cs="Times New Roman"/>
                <w:kern w:val="0"/>
                <w:sz w:val="22"/>
                <w:szCs w:val="22"/>
                <w:highlight w:val="none"/>
                <w:lang w:val="en-US" w:eastAsia="zh-CN"/>
              </w:rPr>
              <w:t>.</w:t>
            </w:r>
            <w:r>
              <w:rPr>
                <w:rFonts w:hint="default" w:ascii="Times New Roman" w:hAnsi="Times New Roman" w:eastAsia="仿宋" w:cs="Times New Roman"/>
                <w:kern w:val="0"/>
                <w:sz w:val="22"/>
                <w:szCs w:val="22"/>
                <w:highlight w:val="none"/>
              </w:rPr>
              <w:t>15</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eastAsia="zh-CN"/>
              </w:rPr>
            </w:pPr>
            <w:r>
              <w:rPr>
                <w:rFonts w:hint="default" w:ascii="Times New Roman" w:hAnsi="Times New Roman" w:eastAsia="仿宋" w:cs="Times New Roman"/>
                <w:kern w:val="0"/>
                <w:sz w:val="22"/>
                <w:szCs w:val="22"/>
                <w:highlight w:val="none"/>
              </w:rPr>
              <w:t>24,245.17</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eastAsia="zh-CN"/>
              </w:rPr>
            </w:pPr>
            <w:r>
              <w:rPr>
                <w:rFonts w:hint="default" w:ascii="Times New Roman" w:hAnsi="Times New Roman" w:eastAsia="仿宋" w:cs="Times New Roman"/>
                <w:kern w:val="0"/>
                <w:sz w:val="22"/>
                <w:szCs w:val="22"/>
                <w:highlight w:val="none"/>
              </w:rPr>
              <w:t>222,11</w:t>
            </w:r>
            <w:r>
              <w:rPr>
                <w:rFonts w:hint="default" w:ascii="Times New Roman" w:hAnsi="Times New Roman" w:eastAsia="仿宋" w:cs="Times New Roman"/>
                <w:kern w:val="0"/>
                <w:sz w:val="22"/>
                <w:szCs w:val="22"/>
                <w:highlight w:val="none"/>
                <w:lang w:val="en-US" w:eastAsia="zh-CN"/>
              </w:rPr>
              <w:t>.</w:t>
            </w:r>
            <w:r>
              <w:rPr>
                <w:rFonts w:hint="default" w:ascii="Times New Roman" w:hAnsi="Times New Roman" w:eastAsia="仿宋" w:cs="Times New Roman"/>
                <w:kern w:val="0"/>
                <w:sz w:val="22"/>
                <w:szCs w:val="22"/>
                <w:highlight w:val="none"/>
              </w:rPr>
              <w:t>79</w:t>
            </w:r>
          </w:p>
        </w:tc>
      </w:tr>
      <w:tr>
        <w:tblPrEx>
          <w:tblCellMar>
            <w:top w:w="0" w:type="dxa"/>
            <w:left w:w="108" w:type="dxa"/>
            <w:bottom w:w="0" w:type="dxa"/>
            <w:right w:w="108" w:type="dxa"/>
          </w:tblCellMar>
        </w:tblPrEx>
        <w:trPr>
          <w:trHeight w:val="90"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公用经费</w:t>
            </w:r>
          </w:p>
        </w:tc>
        <w:tc>
          <w:tcPr>
            <w:tcW w:w="965" w:type="pct"/>
            <w:gridSpan w:val="2"/>
            <w:tcBorders>
              <w:top w:val="nil"/>
              <w:left w:val="nil"/>
              <w:bottom w:val="single" w:color="000000"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1,592.27</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eastAsia="zh-CN"/>
              </w:rPr>
              <w:t>1</w:t>
            </w:r>
            <w:r>
              <w:rPr>
                <w:rFonts w:hint="default" w:ascii="Times New Roman" w:hAnsi="Times New Roman" w:eastAsia="仿宋" w:cs="Times New Roman"/>
                <w:kern w:val="0"/>
                <w:sz w:val="22"/>
                <w:szCs w:val="22"/>
                <w:highlight w:val="none"/>
                <w:lang w:val="en-US" w:eastAsia="zh-CN"/>
              </w:rPr>
              <w:t>459.42</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1,388.28</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其中：办公经费</w:t>
            </w:r>
          </w:p>
        </w:tc>
        <w:tc>
          <w:tcPr>
            <w:tcW w:w="965"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bidi="ar-SA"/>
              </w:rPr>
              <w:t>976.19</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rPr>
              <w:t>966.13</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yellow"/>
                <w:lang w:val="en-US" w:eastAsia="zh-CN" w:bidi="ar-SA"/>
              </w:rPr>
            </w:pPr>
            <w:r>
              <w:rPr>
                <w:rFonts w:hint="default" w:ascii="Times New Roman" w:hAnsi="Times New Roman" w:eastAsia="仿宋" w:cs="Times New Roman"/>
                <w:kern w:val="0"/>
                <w:sz w:val="22"/>
                <w:szCs w:val="22"/>
                <w:highlight w:val="none"/>
                <w:lang w:val="en-US" w:eastAsia="zh-CN" w:bidi="ar-SA"/>
              </w:rPr>
              <w:t>913.02</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水费、电费、差旅费</w:t>
            </w:r>
          </w:p>
        </w:tc>
        <w:tc>
          <w:tcPr>
            <w:tcW w:w="965"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bidi="ar-SA"/>
              </w:rPr>
              <w:t>288.21</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rPr>
              <w:t>216.23</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yellow"/>
                <w:lang w:val="en-US" w:eastAsia="zh-CN" w:bidi="ar-SA"/>
              </w:rPr>
            </w:pPr>
            <w:r>
              <w:rPr>
                <w:rFonts w:hint="default" w:ascii="Times New Roman" w:hAnsi="Times New Roman" w:eastAsia="仿宋" w:cs="Times New Roman"/>
                <w:kern w:val="0"/>
                <w:sz w:val="22"/>
                <w:szCs w:val="22"/>
                <w:highlight w:val="none"/>
                <w:lang w:val="en-US" w:eastAsia="zh-CN" w:bidi="ar-SA"/>
              </w:rPr>
              <w:t>258.08</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会议费、培训费</w:t>
            </w:r>
          </w:p>
        </w:tc>
        <w:tc>
          <w:tcPr>
            <w:tcW w:w="965"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bidi="ar-SA"/>
              </w:rPr>
              <w:t>10.48</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rPr>
              <w:t>16.00</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6.43</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政府采购金额</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rPr>
              <w:t>5,825.95</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934.5</w:t>
            </w: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rPr>
              <w:t>7,112.77</w:t>
            </w: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部门基本支出预算调整</w:t>
            </w:r>
          </w:p>
        </w:tc>
        <w:tc>
          <w:tcPr>
            <w:tcW w:w="965"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w:t>
            </w:r>
          </w:p>
        </w:tc>
        <w:tc>
          <w:tcPr>
            <w:tcW w:w="115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p>
        </w:tc>
        <w:tc>
          <w:tcPr>
            <w:tcW w:w="1090"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lang w:val="en-US" w:eastAsia="zh-CN"/>
              </w:rPr>
            </w:pPr>
            <w:r>
              <w:rPr>
                <w:rFonts w:hint="default" w:ascii="Times New Roman" w:hAnsi="Times New Roman" w:eastAsia="仿宋" w:cs="Times New Roman"/>
                <w:kern w:val="0"/>
                <w:sz w:val="22"/>
                <w:szCs w:val="22"/>
                <w:highlight w:val="none"/>
                <w:lang w:val="en-US" w:eastAsia="zh-CN"/>
              </w:rPr>
              <w:t>226.5</w:t>
            </w:r>
          </w:p>
        </w:tc>
      </w:tr>
      <w:tr>
        <w:tblPrEx>
          <w:tblCellMar>
            <w:top w:w="0" w:type="dxa"/>
            <w:left w:w="108" w:type="dxa"/>
            <w:bottom w:w="0" w:type="dxa"/>
            <w:right w:w="108" w:type="dxa"/>
          </w:tblCellMar>
        </w:tblPrEx>
        <w:trPr>
          <w:trHeight w:val="23" w:hRule="atLeast"/>
        </w:trPr>
        <w:tc>
          <w:tcPr>
            <w:tcW w:w="1789" w:type="pct"/>
            <w:vMerge w:val="restart"/>
            <w:tcBorders>
              <w:top w:val="nil"/>
              <w:left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楼堂馆所控制情况</w:t>
            </w:r>
          </w:p>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w:t>
            </w:r>
            <w:r>
              <w:rPr>
                <w:rFonts w:hint="default" w:ascii="Times New Roman" w:hAnsi="Times New Roman" w:eastAsia="仿宋" w:cs="Times New Roman"/>
                <w:kern w:val="0"/>
                <w:sz w:val="22"/>
                <w:szCs w:val="22"/>
                <w:highlight w:val="none"/>
                <w:lang w:eastAsia="zh-CN"/>
              </w:rPr>
              <w:t>202</w:t>
            </w:r>
            <w:r>
              <w:rPr>
                <w:rFonts w:hint="default" w:ascii="Times New Roman" w:hAnsi="Times New Roman" w:eastAsia="仿宋" w:cs="Times New Roman"/>
                <w:kern w:val="0"/>
                <w:sz w:val="22"/>
                <w:szCs w:val="22"/>
                <w:highlight w:val="none"/>
                <w:lang w:val="en-US" w:eastAsia="zh-CN"/>
              </w:rPr>
              <w:t>5</w:t>
            </w:r>
            <w:r>
              <w:rPr>
                <w:rFonts w:hint="default" w:ascii="Times New Roman" w:hAnsi="Times New Roman" w:eastAsia="仿宋" w:cs="Times New Roman"/>
                <w:kern w:val="0"/>
                <w:sz w:val="22"/>
                <w:szCs w:val="22"/>
                <w:highlight w:val="none"/>
              </w:rPr>
              <w:t>年完工项目）</w:t>
            </w:r>
          </w:p>
          <w:p>
            <w:pPr>
              <w:widowControl/>
              <w:spacing w:line="0" w:lineRule="atLeast"/>
              <w:jc w:val="center"/>
              <w:rPr>
                <w:rFonts w:hint="default" w:ascii="Times New Roman" w:hAnsi="Times New Roman" w:eastAsia="仿宋" w:cs="Times New Roman"/>
                <w:kern w:val="0"/>
                <w:sz w:val="22"/>
                <w:highlight w:val="none"/>
                <w:lang w:eastAsia="zh-CN"/>
              </w:rPr>
            </w:pPr>
          </w:p>
        </w:tc>
        <w:tc>
          <w:tcPr>
            <w:tcW w:w="566"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批复规模</w:t>
            </w:r>
          </w:p>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w:t>
            </w:r>
          </w:p>
        </w:tc>
        <w:tc>
          <w:tcPr>
            <w:tcW w:w="399" w:type="pct"/>
            <w:tcBorders>
              <w:top w:val="nil"/>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实际规模（㎡）</w:t>
            </w:r>
          </w:p>
        </w:tc>
        <w:tc>
          <w:tcPr>
            <w:tcW w:w="658" w:type="pct"/>
            <w:tcBorders>
              <w:top w:val="nil"/>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规模控制率</w:t>
            </w:r>
          </w:p>
        </w:tc>
        <w:tc>
          <w:tcPr>
            <w:tcW w:w="496" w:type="pct"/>
            <w:tcBorders>
              <w:top w:val="nil"/>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预算投资（万元）</w:t>
            </w:r>
          </w:p>
        </w:tc>
        <w:tc>
          <w:tcPr>
            <w:tcW w:w="495" w:type="pct"/>
            <w:tcBorders>
              <w:top w:val="nil"/>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实际投资（万元）</w:t>
            </w:r>
          </w:p>
        </w:tc>
        <w:tc>
          <w:tcPr>
            <w:tcW w:w="595" w:type="pct"/>
            <w:tcBorders>
              <w:top w:val="nil"/>
              <w:left w:val="single" w:color="auto" w:sz="8" w:space="0"/>
              <w:bottom w:val="single" w:color="000000"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投资概算控制率</w:t>
            </w:r>
          </w:p>
        </w:tc>
      </w:tr>
      <w:tr>
        <w:tblPrEx>
          <w:tblCellMar>
            <w:top w:w="0" w:type="dxa"/>
            <w:left w:w="108" w:type="dxa"/>
            <w:bottom w:w="0" w:type="dxa"/>
            <w:right w:w="108" w:type="dxa"/>
          </w:tblCellMar>
        </w:tblPrEx>
        <w:trPr>
          <w:trHeight w:val="23" w:hRule="atLeast"/>
        </w:trPr>
        <w:tc>
          <w:tcPr>
            <w:tcW w:w="1789" w:type="pct"/>
            <w:vMerge w:val="continue"/>
            <w:tcBorders>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highlight w:val="none"/>
              </w:rPr>
            </w:pPr>
          </w:p>
        </w:tc>
        <w:tc>
          <w:tcPr>
            <w:tcW w:w="566"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c>
          <w:tcPr>
            <w:tcW w:w="399"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c>
          <w:tcPr>
            <w:tcW w:w="658"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c>
          <w:tcPr>
            <w:tcW w:w="496"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c>
          <w:tcPr>
            <w:tcW w:w="495"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c>
          <w:tcPr>
            <w:tcW w:w="595" w:type="pct"/>
            <w:tcBorders>
              <w:top w:val="nil"/>
              <w:left w:val="nil"/>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color w:val="auto"/>
                <w:kern w:val="0"/>
                <w:sz w:val="22"/>
                <w:szCs w:val="22"/>
                <w:highlight w:val="none"/>
                <w:lang w:eastAsia="zh-CN"/>
              </w:rPr>
            </w:pPr>
          </w:p>
        </w:tc>
      </w:tr>
      <w:tr>
        <w:tblPrEx>
          <w:tblCellMar>
            <w:top w:w="0" w:type="dxa"/>
            <w:left w:w="108" w:type="dxa"/>
            <w:bottom w:w="0" w:type="dxa"/>
            <w:right w:w="108" w:type="dxa"/>
          </w:tblCellMar>
        </w:tblPrEx>
        <w:trPr>
          <w:trHeight w:val="23" w:hRule="atLeast"/>
        </w:trPr>
        <w:tc>
          <w:tcPr>
            <w:tcW w:w="1789" w:type="pct"/>
            <w:tcBorders>
              <w:top w:val="nil"/>
              <w:left w:val="single" w:color="auto" w:sz="8" w:space="0"/>
              <w:bottom w:val="single" w:color="auto" w:sz="8" w:space="0"/>
              <w:right w:val="single" w:color="auto" w:sz="8" w:space="0"/>
            </w:tcBorders>
            <w:shd w:val="clear" w:color="auto" w:fill="auto"/>
            <w:vAlign w:val="center"/>
          </w:tcPr>
          <w:p>
            <w:pPr>
              <w:widowControl/>
              <w:spacing w:line="0" w:lineRule="atLeast"/>
              <w:jc w:val="center"/>
              <w:rPr>
                <w:rFonts w:hint="default" w:ascii="Times New Roman" w:hAnsi="Times New Roman" w:eastAsia="仿宋" w:cs="Times New Roman"/>
                <w:kern w:val="0"/>
                <w:sz w:val="22"/>
                <w:szCs w:val="22"/>
                <w:highlight w:val="none"/>
              </w:rPr>
            </w:pPr>
            <w:r>
              <w:rPr>
                <w:rFonts w:hint="default" w:ascii="Times New Roman" w:hAnsi="Times New Roman" w:eastAsia="仿宋" w:cs="Times New Roman"/>
                <w:kern w:val="0"/>
                <w:sz w:val="22"/>
                <w:szCs w:val="22"/>
                <w:highlight w:val="none"/>
              </w:rPr>
              <w:t>厉行节约保障措施</w:t>
            </w:r>
          </w:p>
        </w:tc>
        <w:tc>
          <w:tcPr>
            <w:tcW w:w="3210" w:type="pct"/>
            <w:gridSpan w:val="6"/>
            <w:tcBorders>
              <w:top w:val="single" w:color="auto" w:sz="8" w:space="0"/>
              <w:left w:val="nil"/>
              <w:bottom w:val="single" w:color="auto" w:sz="8" w:space="0"/>
              <w:right w:val="single" w:color="000000" w:sz="8" w:space="0"/>
            </w:tcBorders>
            <w:shd w:val="clear" w:color="auto" w:fill="auto"/>
            <w:vAlign w:val="center"/>
          </w:tcPr>
          <w:p>
            <w:pPr>
              <w:widowControl/>
              <w:spacing w:line="0" w:lineRule="atLeast"/>
              <w:jc w:val="left"/>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制订</w:t>
            </w:r>
            <w:r>
              <w:rPr>
                <w:rFonts w:hint="default" w:ascii="Times New Roman" w:hAnsi="Times New Roman" w:eastAsia="仿宋" w:cs="Times New Roman"/>
                <w:color w:val="auto"/>
                <w:kern w:val="0"/>
                <w:sz w:val="22"/>
                <w:szCs w:val="22"/>
                <w:highlight w:val="none"/>
                <w:lang w:val="en-US" w:eastAsia="zh-CN"/>
              </w:rPr>
              <w:t>了</w:t>
            </w:r>
            <w:r>
              <w:rPr>
                <w:rFonts w:hint="default" w:ascii="Times New Roman" w:hAnsi="Times New Roman" w:eastAsia="仿宋" w:cs="Times New Roman"/>
                <w:color w:val="auto"/>
                <w:kern w:val="0"/>
                <w:sz w:val="22"/>
                <w:szCs w:val="22"/>
                <w:highlight w:val="none"/>
              </w:rPr>
              <w:t>《</w:t>
            </w:r>
            <w:r>
              <w:rPr>
                <w:rFonts w:hint="default" w:ascii="Times New Roman" w:hAnsi="Times New Roman" w:eastAsia="仿宋" w:cs="Times New Roman"/>
                <w:color w:val="auto"/>
                <w:kern w:val="0"/>
                <w:sz w:val="22"/>
                <w:szCs w:val="22"/>
                <w:highlight w:val="none"/>
                <w:lang w:eastAsia="zh-CN"/>
              </w:rPr>
              <w:t>湖南省</w:t>
            </w:r>
            <w:r>
              <w:rPr>
                <w:rFonts w:hint="default" w:ascii="Times New Roman" w:hAnsi="Times New Roman" w:eastAsia="仿宋" w:cs="Times New Roman"/>
                <w:color w:val="auto"/>
                <w:kern w:val="0"/>
                <w:sz w:val="22"/>
                <w:szCs w:val="22"/>
                <w:highlight w:val="none"/>
              </w:rPr>
              <w:t>商务厅机关财务管理</w:t>
            </w:r>
            <w:r>
              <w:rPr>
                <w:rFonts w:hint="default" w:ascii="Times New Roman" w:hAnsi="Times New Roman" w:eastAsia="仿宋" w:cs="Times New Roman"/>
                <w:color w:val="auto"/>
                <w:kern w:val="0"/>
                <w:sz w:val="22"/>
                <w:szCs w:val="22"/>
                <w:highlight w:val="none"/>
                <w:lang w:eastAsia="zh-CN"/>
              </w:rPr>
              <w:t>制度与</w:t>
            </w:r>
            <w:r>
              <w:rPr>
                <w:rFonts w:hint="default" w:ascii="Times New Roman" w:hAnsi="Times New Roman" w:eastAsia="仿宋" w:cs="Times New Roman"/>
                <w:color w:val="auto"/>
                <w:kern w:val="0"/>
                <w:sz w:val="22"/>
                <w:szCs w:val="22"/>
                <w:highlight w:val="none"/>
              </w:rPr>
              <w:t>实施细则》、《湖南省商务厅机关采购管理实施办法》、《湖南省商务厅固定资产管理</w:t>
            </w:r>
            <w:r>
              <w:rPr>
                <w:rFonts w:hint="default" w:ascii="Times New Roman" w:hAnsi="Times New Roman" w:eastAsia="仿宋" w:cs="Times New Roman"/>
                <w:color w:val="auto"/>
                <w:kern w:val="0"/>
                <w:sz w:val="22"/>
                <w:szCs w:val="22"/>
                <w:highlight w:val="none"/>
                <w:lang w:eastAsia="zh-CN"/>
              </w:rPr>
              <w:t>实施</w:t>
            </w:r>
            <w:r>
              <w:rPr>
                <w:rFonts w:hint="default" w:ascii="Times New Roman" w:hAnsi="Times New Roman" w:eastAsia="仿宋" w:cs="Times New Roman"/>
                <w:color w:val="auto"/>
                <w:kern w:val="0"/>
                <w:sz w:val="22"/>
                <w:szCs w:val="22"/>
                <w:highlight w:val="none"/>
              </w:rPr>
              <w:t>办法》等规章制度，明确了经费审批权限及程序</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经费预算管理、财务经费管理、资产购置与处置、财务监督等</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建立公用经费标准定额体系，开展公用经费使用监督和绩效评估，进一步落实厉行节约的各项规定，确保“三公经费”使用合理合规等。上述制度规定基本执行到位。</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579" w:charSpace="-849"/>
        </w:sect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附件2</w:t>
      </w:r>
    </w:p>
    <w:p>
      <w:pPr>
        <w:widowControl w:val="0"/>
        <w:spacing w:after="0" w:line="560" w:lineRule="exact"/>
        <w:jc w:val="center"/>
        <w:rPr>
          <w:rFonts w:hint="default" w:ascii="Times New Roman" w:hAnsi="Times New Roman" w:eastAsia="方正小标宋简体" w:cs="Times New Roman"/>
          <w:b w:val="0"/>
          <w:bCs w:val="0"/>
          <w:kern w:val="0"/>
          <w:sz w:val="40"/>
          <w:szCs w:val="40"/>
          <w:highlight w:val="none"/>
          <w:lang w:val="en-US" w:eastAsia="zh-CN"/>
        </w:rPr>
      </w:pPr>
      <w:r>
        <w:rPr>
          <w:rFonts w:hint="default" w:ascii="Times New Roman" w:hAnsi="Times New Roman" w:eastAsia="方正小标宋简体" w:cs="Times New Roman"/>
          <w:b w:val="0"/>
          <w:bCs w:val="0"/>
          <w:kern w:val="0"/>
          <w:sz w:val="40"/>
          <w:szCs w:val="40"/>
          <w:highlight w:val="none"/>
          <w:lang w:val="en-US" w:eastAsia="zh-CN"/>
        </w:rPr>
        <w:t>2025年度部门整体支出绩效自评表</w:t>
      </w:r>
    </w:p>
    <w:tbl>
      <w:tblPr>
        <w:tblStyle w:val="9"/>
        <w:tblW w:w="4998" w:type="pct"/>
        <w:jc w:val="center"/>
        <w:tblLayout w:type="autofit"/>
        <w:tblCellMar>
          <w:top w:w="0" w:type="dxa"/>
          <w:left w:w="108" w:type="dxa"/>
          <w:bottom w:w="0" w:type="dxa"/>
          <w:right w:w="108" w:type="dxa"/>
        </w:tblCellMar>
      </w:tblPr>
      <w:tblGrid>
        <w:gridCol w:w="1099"/>
        <w:gridCol w:w="871"/>
        <w:gridCol w:w="830"/>
        <w:gridCol w:w="2576"/>
        <w:gridCol w:w="1598"/>
        <w:gridCol w:w="2034"/>
        <w:gridCol w:w="1349"/>
        <w:gridCol w:w="1349"/>
        <w:gridCol w:w="1261"/>
      </w:tblGrid>
      <w:tr>
        <w:tblPrEx>
          <w:tblCellMar>
            <w:top w:w="0" w:type="dxa"/>
            <w:left w:w="108" w:type="dxa"/>
            <w:bottom w:w="0" w:type="dxa"/>
            <w:right w:w="108" w:type="dxa"/>
          </w:tblCellMar>
        </w:tblPrEx>
        <w:trPr>
          <w:trHeight w:val="227" w:hRule="atLeast"/>
          <w:jc w:val="center"/>
        </w:trPr>
        <w:tc>
          <w:tcPr>
            <w:tcW w:w="1080"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省级预算部门</w:t>
            </w:r>
            <w:r>
              <w:rPr>
                <w:rFonts w:hint="default" w:ascii="Times New Roman" w:hAnsi="Times New Roman" w:eastAsia="仿宋_GB2312" w:cs="Times New Roman"/>
                <w:color w:val="000000"/>
                <w:sz w:val="20"/>
                <w:szCs w:val="20"/>
                <w:highlight w:val="none"/>
                <w:lang w:eastAsia="zh-CN"/>
              </w:rPr>
              <w:t>、单位</w:t>
            </w:r>
            <w:r>
              <w:rPr>
                <w:rFonts w:hint="default" w:ascii="Times New Roman" w:hAnsi="Times New Roman" w:eastAsia="仿宋_GB2312" w:cs="Times New Roman"/>
                <w:color w:val="000000"/>
                <w:sz w:val="20"/>
                <w:szCs w:val="20"/>
                <w:highlight w:val="none"/>
              </w:rPr>
              <w:t>名称</w:t>
            </w:r>
          </w:p>
        </w:tc>
        <w:tc>
          <w:tcPr>
            <w:tcW w:w="3919" w:type="pct"/>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湖南省商务厅</w:t>
            </w:r>
          </w:p>
        </w:tc>
      </w:tr>
      <w:tr>
        <w:tblPrEx>
          <w:tblCellMar>
            <w:top w:w="0" w:type="dxa"/>
            <w:left w:w="108" w:type="dxa"/>
            <w:bottom w:w="0" w:type="dxa"/>
            <w:right w:w="108" w:type="dxa"/>
          </w:tblCellMar>
        </w:tblPrEx>
        <w:trPr>
          <w:trHeight w:val="227" w:hRule="atLeast"/>
          <w:jc w:val="center"/>
        </w:trPr>
        <w:tc>
          <w:tcPr>
            <w:tcW w:w="424" w:type="pct"/>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年度预</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算申请</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655" w:type="pct"/>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p>
        </w:tc>
        <w:tc>
          <w:tcPr>
            <w:tcW w:w="993"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年初预算数</w:t>
            </w:r>
          </w:p>
        </w:tc>
        <w:tc>
          <w:tcPr>
            <w:tcW w:w="616"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全年预算数</w:t>
            </w:r>
          </w:p>
        </w:tc>
        <w:tc>
          <w:tcPr>
            <w:tcW w:w="783"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全年执行数</w:t>
            </w:r>
          </w:p>
        </w:tc>
        <w:tc>
          <w:tcPr>
            <w:tcW w:w="520"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520"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486"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eastAsia="zh-CN"/>
              </w:rPr>
              <w:t>自评</w:t>
            </w:r>
            <w:r>
              <w:rPr>
                <w:rFonts w:hint="default" w:ascii="Times New Roman" w:hAnsi="Times New Roman" w:eastAsia="仿宋_GB2312" w:cs="Times New Roman"/>
                <w:sz w:val="20"/>
                <w:szCs w:val="20"/>
                <w:highlight w:val="none"/>
              </w:rPr>
              <w:t>得分</w:t>
            </w:r>
          </w:p>
        </w:tc>
      </w:tr>
      <w:tr>
        <w:tblPrEx>
          <w:tblCellMar>
            <w:top w:w="0" w:type="dxa"/>
            <w:left w:w="108" w:type="dxa"/>
            <w:bottom w:w="0" w:type="dxa"/>
            <w:right w:w="108" w:type="dxa"/>
          </w:tblCellMar>
        </w:tblPrEx>
        <w:trPr>
          <w:trHeight w:val="227" w:hRule="atLeast"/>
          <w:jc w:val="center"/>
        </w:trPr>
        <w:tc>
          <w:tcPr>
            <w:tcW w:w="424" w:type="pct"/>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p>
        </w:tc>
        <w:tc>
          <w:tcPr>
            <w:tcW w:w="655" w:type="pct"/>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993"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ascii="Times New Roman" w:hAnsi="Times New Roman" w:eastAsia="仿宋_GB2312" w:cs="Times New Roman"/>
                <w:b w:val="0"/>
                <w:bCs w:val="0"/>
                <w:sz w:val="20"/>
                <w:szCs w:val="20"/>
                <w:highlight w:val="none"/>
              </w:rPr>
              <w:t>16,810.32</w:t>
            </w:r>
          </w:p>
        </w:tc>
        <w:tc>
          <w:tcPr>
            <w:tcW w:w="616"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rPr>
              <w:t>37,203.93</w:t>
            </w:r>
          </w:p>
        </w:tc>
        <w:tc>
          <w:tcPr>
            <w:tcW w:w="783"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rPr>
              <w:t>32,606.4</w:t>
            </w:r>
            <w:r>
              <w:rPr>
                <w:rFonts w:hint="default" w:ascii="Times New Roman" w:hAnsi="Times New Roman" w:eastAsia="仿宋_GB2312" w:cs="Times New Roman"/>
                <w:sz w:val="20"/>
                <w:szCs w:val="20"/>
                <w:highlight w:val="none"/>
                <w:lang w:val="en-US" w:eastAsia="zh-CN"/>
              </w:rPr>
              <w:t>4</w:t>
            </w:r>
          </w:p>
        </w:tc>
        <w:tc>
          <w:tcPr>
            <w:tcW w:w="520"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b w:val="0"/>
                <w:bCs w:val="0"/>
                <w:sz w:val="20"/>
                <w:szCs w:val="20"/>
                <w:highlight w:val="none"/>
              </w:rPr>
              <w:t>10</w:t>
            </w:r>
          </w:p>
        </w:tc>
        <w:tc>
          <w:tcPr>
            <w:tcW w:w="520"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87.64</w:t>
            </w:r>
            <w:r>
              <w:rPr>
                <w:rFonts w:hint="default" w:ascii="Times New Roman" w:hAnsi="Times New Roman" w:eastAsia="仿宋_GB2312" w:cs="Times New Roman"/>
                <w:sz w:val="20"/>
                <w:szCs w:val="20"/>
                <w:highlight w:val="none"/>
              </w:rPr>
              <w:t>%</w:t>
            </w:r>
          </w:p>
        </w:tc>
        <w:tc>
          <w:tcPr>
            <w:tcW w:w="486" w:type="pct"/>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8.8</w:t>
            </w:r>
          </w:p>
        </w:tc>
      </w:tr>
      <w:tr>
        <w:trPr>
          <w:trHeight w:val="227" w:hRule="atLeast"/>
          <w:jc w:val="center"/>
        </w:trPr>
        <w:tc>
          <w:tcPr>
            <w:tcW w:w="424" w:type="pct"/>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2309"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tblPrEx>
          <w:tblCellMar>
            <w:top w:w="0" w:type="dxa"/>
            <w:left w:w="108" w:type="dxa"/>
            <w:bottom w:w="0" w:type="dxa"/>
            <w:right w:w="108" w:type="dxa"/>
          </w:tblCellMar>
        </w:tblPrEx>
        <w:trPr>
          <w:trHeight w:val="227" w:hRule="atLeast"/>
          <w:jc w:val="center"/>
        </w:trPr>
        <w:tc>
          <w:tcPr>
            <w:tcW w:w="424" w:type="pct"/>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其中：一般公共预算：34,064.72</w:t>
            </w:r>
          </w:p>
        </w:tc>
        <w:tc>
          <w:tcPr>
            <w:tcW w:w="2309"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其中：基本支出：10,394.65</w:t>
            </w:r>
          </w:p>
        </w:tc>
      </w:tr>
      <w:tr>
        <w:tblPrEx>
          <w:tblCellMar>
            <w:top w:w="0" w:type="dxa"/>
            <w:left w:w="108" w:type="dxa"/>
            <w:bottom w:w="0" w:type="dxa"/>
            <w:right w:w="108" w:type="dxa"/>
          </w:tblCellMar>
        </w:tblPrEx>
        <w:trPr>
          <w:trHeight w:val="227" w:hRule="atLeast"/>
          <w:jc w:val="center"/>
        </w:trPr>
        <w:tc>
          <w:tcPr>
            <w:tcW w:w="424" w:type="pct"/>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nil"/>
              <w:left w:val="nil"/>
              <w:bottom w:val="single" w:color="auto" w:sz="4" w:space="0"/>
              <w:right w:val="single" w:color="auto" w:sz="4" w:space="0"/>
            </w:tcBorders>
            <w:noWrap w:val="0"/>
            <w:vAlign w:val="center"/>
          </w:tcPr>
          <w:p>
            <w:pPr>
              <w:widowControl/>
              <w:spacing w:line="240" w:lineRule="exact"/>
              <w:ind w:firstLine="784" w:firstLineChars="4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2309" w:type="pct"/>
            <w:gridSpan w:val="4"/>
            <w:tcBorders>
              <w:top w:val="nil"/>
              <w:left w:val="nil"/>
              <w:bottom w:val="single" w:color="auto" w:sz="4" w:space="0"/>
              <w:right w:val="single" w:color="auto" w:sz="4" w:space="0"/>
            </w:tcBorders>
            <w:noWrap w:val="0"/>
            <w:vAlign w:val="center"/>
          </w:tcPr>
          <w:p>
            <w:pPr>
              <w:widowControl/>
              <w:spacing w:line="240" w:lineRule="exact"/>
              <w:ind w:firstLine="588" w:firstLineChars="300"/>
              <w:jc w:val="left"/>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项目支出：22,211.79</w:t>
            </w:r>
          </w:p>
        </w:tc>
      </w:tr>
      <w:tr>
        <w:tblPrEx>
          <w:tblCellMar>
            <w:top w:w="0" w:type="dxa"/>
            <w:left w:w="108" w:type="dxa"/>
            <w:bottom w:w="0" w:type="dxa"/>
            <w:right w:w="108" w:type="dxa"/>
          </w:tblCellMar>
        </w:tblPrEx>
        <w:trPr>
          <w:trHeight w:val="227" w:hRule="atLeast"/>
          <w:jc w:val="center"/>
        </w:trPr>
        <w:tc>
          <w:tcPr>
            <w:tcW w:w="424" w:type="pct"/>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纳入专户管理的非税收入拨款：</w:t>
            </w:r>
          </w:p>
        </w:tc>
        <w:tc>
          <w:tcPr>
            <w:tcW w:w="2309"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r>
      <w:tr>
        <w:trPr>
          <w:trHeight w:val="227" w:hRule="atLeast"/>
          <w:jc w:val="center"/>
        </w:trPr>
        <w:tc>
          <w:tcPr>
            <w:tcW w:w="424" w:type="pct"/>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nil"/>
              <w:left w:val="nil"/>
              <w:bottom w:val="single" w:color="auto" w:sz="4" w:space="0"/>
              <w:right w:val="single" w:color="auto" w:sz="4" w:space="0"/>
            </w:tcBorders>
            <w:noWrap w:val="0"/>
            <w:vAlign w:val="center"/>
          </w:tcPr>
          <w:p>
            <w:pPr>
              <w:widowControl/>
              <w:spacing w:line="240" w:lineRule="exact"/>
              <w:ind w:firstLine="1372" w:firstLineChars="700"/>
              <w:jc w:val="left"/>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其他资金：6.82</w:t>
            </w:r>
          </w:p>
        </w:tc>
        <w:tc>
          <w:tcPr>
            <w:tcW w:w="2309" w:type="pct"/>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27" w:hRule="atLeast"/>
          <w:jc w:val="center"/>
        </w:trPr>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2265"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2309"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实际完成情况</w:t>
            </w:r>
          </w:p>
        </w:tc>
      </w:tr>
      <w:tr>
        <w:tblPrEx>
          <w:tblCellMar>
            <w:top w:w="0" w:type="dxa"/>
            <w:left w:w="108" w:type="dxa"/>
            <w:bottom w:w="0" w:type="dxa"/>
            <w:right w:w="108" w:type="dxa"/>
          </w:tblCellMar>
        </w:tblPrEx>
        <w:trPr>
          <w:trHeight w:val="3411"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p>
        </w:tc>
        <w:tc>
          <w:tcPr>
            <w:tcW w:w="2265"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both"/>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认真贯彻落实省委经济工作会议、全国商务工作会议等部署要求，着力扩需求、稳外贸、稳外资、强平台，高质量完成“十四五”规划目标任务，为实现“十五五”良好开局打牢基础。全年组织经贸活动对接企业30家以上，举办境内外对非经贸活动3场以上，实现对非贸易实绩企业1900家以上，全省餐饮收入增长5%以上，重点展会达成意向成交金额2000亿元以上，湖南自贸试验区影响力持续提升。</w:t>
            </w:r>
          </w:p>
        </w:tc>
        <w:tc>
          <w:tcPr>
            <w:tcW w:w="2309"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both"/>
              <w:rPr>
                <w:rFonts w:hint="default" w:ascii="Times New Roman" w:hAnsi="Times New Roman" w:eastAsia="楷体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全年扎实推进商务各项重点工作落地见效，累计合同签约“三类500强”企业投资项目164个、引进高质量项目106个、高质量外资项目41个、先进制造业项目9个，组织参与经贸活动15场次；做实宣传阵地建设，“湖南商务发展促进”“全球湘商荟”公众号分别推送稿件802篇、804篇；聚力对外开放合作，落地支持对外投资合作项目142个、援外培训班155个、境外展会项目1262个、服务贸易项目87个、服务贸易平台5个，开行中欧班列1057列；规范市场运行管理，市场运行监测数据报送率达80%，相关扶持资金于2025年9月底前完成下达；深挖商贸主体培育潜力，新增限上批零住餐企业1568家、加工贸易企业25家，湘商回归新注册企业1990家、境外企业232家，其中“一带一路”沿线国家新增境外企业占比55.2%；外贸提质成效突出，全省服务贸易进出口增幅18.22%、对非贸易增幅5.8%，跨境电商企业交易额稳步增长、增速4.03%，全年工作综合满意度达90%。</w:t>
            </w:r>
          </w:p>
        </w:tc>
      </w:tr>
      <w:tr>
        <w:tblPrEx>
          <w:tblCellMar>
            <w:top w:w="0" w:type="dxa"/>
            <w:left w:w="108" w:type="dxa"/>
            <w:bottom w:w="0" w:type="dxa"/>
            <w:right w:w="108" w:type="dxa"/>
          </w:tblCellMar>
        </w:tblPrEx>
        <w:trPr>
          <w:trHeight w:val="23" w:hRule="atLeast"/>
          <w:jc w:val="center"/>
        </w:trPr>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p>
            <w:pPr>
              <w:widowControl/>
              <w:spacing w:line="240" w:lineRule="exact"/>
              <w:jc w:val="center"/>
              <w:rPr>
                <w:rFonts w:hint="default" w:ascii="Times New Roman" w:hAnsi="Times New Roman" w:eastAsia="仿宋_GB2312" w:cs="Times New Roman"/>
                <w:color w:val="000000"/>
                <w:sz w:val="20"/>
                <w:szCs w:val="20"/>
                <w:highlight w:val="none"/>
              </w:rPr>
            </w:pPr>
          </w:p>
        </w:tc>
        <w:tc>
          <w:tcPr>
            <w:tcW w:w="33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tc>
        <w:tc>
          <w:tcPr>
            <w:tcW w:w="3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61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年度指标值</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实际完成值</w:t>
            </w:r>
          </w:p>
        </w:tc>
        <w:tc>
          <w:tcPr>
            <w:tcW w:w="52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52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16"/>
                <w:szCs w:val="16"/>
                <w:highlight w:val="none"/>
                <w:lang w:eastAsia="zh-CN"/>
              </w:rPr>
              <w:t>自评</w:t>
            </w:r>
            <w:r>
              <w:rPr>
                <w:rFonts w:hint="default" w:ascii="Times New Roman" w:hAnsi="Times New Roman" w:eastAsia="仿宋_GB2312" w:cs="Times New Roman"/>
                <w:color w:val="000000"/>
                <w:sz w:val="16"/>
                <w:szCs w:val="16"/>
                <w:highlight w:val="none"/>
              </w:rPr>
              <w:t>得分</w:t>
            </w:r>
          </w:p>
        </w:tc>
        <w:tc>
          <w:tcPr>
            <w:tcW w:w="4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11"/>
                <w:sz w:val="20"/>
                <w:szCs w:val="20"/>
                <w:highlight w:val="none"/>
              </w:rPr>
              <w:t>偏差原因分析及改进措施</w:t>
            </w:r>
          </w:p>
        </w:tc>
      </w:tr>
      <w:tr>
        <w:trPr>
          <w:trHeight w:val="532"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both"/>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18"/>
                <w:szCs w:val="18"/>
                <w:highlight w:val="none"/>
                <w:lang w:val="en-US" w:eastAsia="zh-CN"/>
              </w:rPr>
              <w:t>（</w:t>
            </w:r>
            <w:r>
              <w:rPr>
                <w:rFonts w:hint="default" w:ascii="Times New Roman" w:hAnsi="Times New Roman" w:eastAsia="仿宋_GB2312" w:cs="Times New Roman"/>
                <w:color w:val="000000"/>
                <w:sz w:val="18"/>
                <w:szCs w:val="18"/>
                <w:highlight w:val="none"/>
              </w:rPr>
              <w:t>50分</w:t>
            </w:r>
            <w:r>
              <w:rPr>
                <w:rFonts w:hint="default" w:ascii="Times New Roman" w:hAnsi="Times New Roman" w:eastAsia="仿宋_GB2312" w:cs="Times New Roman"/>
                <w:color w:val="000000"/>
                <w:sz w:val="18"/>
                <w:szCs w:val="18"/>
                <w:highlight w:val="none"/>
                <w:lang w:val="en-US" w:eastAsia="zh-CN"/>
              </w:rPr>
              <w:t>）</w:t>
            </w:r>
          </w:p>
        </w:tc>
        <w:tc>
          <w:tcPr>
            <w:tcW w:w="31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widowControl/>
              <w:spacing w:line="240" w:lineRule="exact"/>
              <w:jc w:val="both"/>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ascii="Times New Roman" w:hAnsi="Times New Roman" w:eastAsia="仿宋_GB2312" w:cs="Times New Roman"/>
                <w:color w:val="000000"/>
                <w:sz w:val="20"/>
                <w:szCs w:val="20"/>
                <w:highlight w:val="none"/>
                <w:lang w:val="en-US" w:eastAsia="zh-CN" w:bidi="ar"/>
              </w:rPr>
              <w:t>合同签约</w:t>
            </w: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三类</w:t>
            </w:r>
            <w:r>
              <w:rPr>
                <w:rFonts w:hint="default" w:ascii="Times New Roman" w:hAnsi="Times New Roman" w:eastAsia="仿宋_GB2312" w:cs="Times New Roman"/>
                <w:i w:val="0"/>
                <w:iCs w:val="0"/>
                <w:color w:val="000000"/>
                <w:kern w:val="2"/>
                <w:sz w:val="20"/>
                <w:szCs w:val="20"/>
                <w:highlight w:val="none"/>
                <w:u w:val="none"/>
                <w:lang w:val="en-US" w:eastAsia="zh-CN" w:bidi="ar"/>
              </w:rPr>
              <w:t>500</w:t>
            </w:r>
            <w:r>
              <w:rPr>
                <w:rStyle w:val="10"/>
                <w:rFonts w:ascii="Times New Roman" w:hAnsi="Times New Roman" w:eastAsia="仿宋_GB2312" w:cs="Times New Roman"/>
                <w:color w:val="000000"/>
                <w:sz w:val="20"/>
                <w:szCs w:val="20"/>
                <w:highlight w:val="none"/>
                <w:lang w:val="en-US" w:eastAsia="zh-CN" w:bidi="ar"/>
              </w:rPr>
              <w:t>强</w:t>
            </w: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企业投资项目</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≥120</w:t>
            </w:r>
            <w:r>
              <w:rPr>
                <w:rStyle w:val="10"/>
                <w:rFonts w:ascii="Times New Roman" w:hAnsi="Times New Roman" w:eastAsia="仿宋_GB2312" w:cs="Times New Roman"/>
                <w:color w:val="000000"/>
                <w:sz w:val="20"/>
                <w:szCs w:val="20"/>
                <w:highlight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164</w:t>
            </w:r>
            <w:r>
              <w:rPr>
                <w:rStyle w:val="10"/>
                <w:rFonts w:ascii="Times New Roman" w:hAnsi="Times New Roman" w:eastAsia="仿宋_GB2312" w:cs="Times New Roman"/>
                <w:color w:val="000000"/>
                <w:sz w:val="20"/>
                <w:szCs w:val="20"/>
                <w:highlight w:val="none"/>
                <w:lang w:val="en-US" w:eastAsia="zh-CN" w:bidi="ar"/>
              </w:rPr>
              <w:t>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ascii="Times New Roman" w:hAnsi="Times New Roman" w:eastAsia="仿宋_GB2312" w:cs="Times New Roman"/>
                <w:color w:val="000000"/>
                <w:sz w:val="20"/>
                <w:szCs w:val="20"/>
                <w:highlight w:val="none"/>
                <w:lang w:val="en-US" w:eastAsia="zh-CN" w:bidi="ar"/>
              </w:rPr>
              <w:t>参加经贸活动</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w:t>
            </w:r>
            <w:r>
              <w:rPr>
                <w:rStyle w:val="10"/>
                <w:rFonts w:ascii="Times New Roman" w:hAnsi="Times New Roman" w:eastAsia="仿宋_GB2312" w:cs="Times New Roman"/>
                <w:color w:val="000000"/>
                <w:sz w:val="20"/>
                <w:szCs w:val="20"/>
                <w:highlight w:val="none"/>
                <w:lang w:val="en-US" w:eastAsia="zh-CN" w:bidi="ar"/>
              </w:rPr>
              <w:t>场次</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w:t>
            </w:r>
            <w:r>
              <w:rPr>
                <w:rStyle w:val="10"/>
                <w:rFonts w:ascii="Times New Roman" w:hAnsi="Times New Roman" w:eastAsia="仿宋_GB2312" w:cs="Times New Roman"/>
                <w:color w:val="000000"/>
                <w:sz w:val="20"/>
                <w:szCs w:val="20"/>
                <w:highlight w:val="none"/>
                <w:lang w:val="en-US" w:eastAsia="zh-CN" w:bidi="ar"/>
              </w:rPr>
              <w:t>场次</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湖南商务发展促进</w:t>
            </w: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公众号推送</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≥750</w:t>
            </w:r>
            <w:r>
              <w:rPr>
                <w:rStyle w:val="10"/>
                <w:rFonts w:ascii="Times New Roman" w:hAnsi="Times New Roman" w:eastAsia="仿宋_GB2312" w:cs="Times New Roman"/>
                <w:color w:val="000000"/>
                <w:sz w:val="20"/>
                <w:szCs w:val="20"/>
                <w:highlight w:val="none"/>
                <w:lang w:val="en-US" w:eastAsia="zh-CN" w:bidi="ar"/>
              </w:rPr>
              <w:t>篇</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802</w:t>
            </w:r>
            <w:r>
              <w:rPr>
                <w:rStyle w:val="10"/>
                <w:rFonts w:ascii="Times New Roman" w:hAnsi="Times New Roman" w:eastAsia="仿宋_GB2312" w:cs="Times New Roman"/>
                <w:color w:val="000000"/>
                <w:sz w:val="20"/>
                <w:szCs w:val="20"/>
                <w:highlight w:val="none"/>
                <w:lang w:val="en-US" w:eastAsia="zh-CN" w:bidi="ar"/>
              </w:rPr>
              <w:t>篇</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全球湘商荟</w:t>
            </w: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Style w:val="10"/>
                <w:rFonts w:ascii="Times New Roman" w:hAnsi="Times New Roman" w:eastAsia="仿宋_GB2312" w:cs="Times New Roman"/>
                <w:color w:val="000000"/>
                <w:sz w:val="20"/>
                <w:szCs w:val="20"/>
                <w:highlight w:val="none"/>
                <w:lang w:val="en-US" w:eastAsia="zh-CN" w:bidi="ar"/>
              </w:rPr>
              <w:t>公众号推送</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≥750</w:t>
            </w:r>
            <w:r>
              <w:rPr>
                <w:rStyle w:val="10"/>
                <w:rFonts w:ascii="Times New Roman" w:hAnsi="Times New Roman" w:eastAsia="仿宋_GB2312" w:cs="Times New Roman"/>
                <w:color w:val="000000"/>
                <w:sz w:val="20"/>
                <w:szCs w:val="20"/>
                <w:highlight w:val="none"/>
                <w:lang w:val="en-US" w:eastAsia="zh-CN" w:bidi="ar"/>
              </w:rPr>
              <w:t>篇</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804</w:t>
            </w:r>
            <w:r>
              <w:rPr>
                <w:rStyle w:val="10"/>
                <w:rFonts w:ascii="Times New Roman" w:hAnsi="Times New Roman" w:eastAsia="仿宋_GB2312" w:cs="Times New Roman"/>
                <w:color w:val="000000"/>
                <w:sz w:val="20"/>
                <w:szCs w:val="20"/>
                <w:highlight w:val="none"/>
                <w:lang w:val="en-US" w:eastAsia="zh-CN" w:bidi="ar"/>
              </w:rPr>
              <w:t>篇</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r>
              <w:rPr>
                <w:rStyle w:val="10"/>
                <w:rFonts w:ascii="Times New Roman" w:hAnsi="Times New Roman" w:eastAsia="仿宋_GB2312" w:cs="Times New Roman"/>
                <w:color w:val="000000"/>
                <w:sz w:val="20"/>
                <w:szCs w:val="20"/>
                <w:highlight w:val="none"/>
                <w:lang w:val="en-US" w:eastAsia="zh-CN" w:bidi="ar"/>
              </w:rPr>
              <w:t>拜访对接商协会</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r>
              <w:rPr>
                <w:rFonts w:hint="default" w:ascii="Times New Roman" w:hAnsi="Times New Roman" w:eastAsia="仿宋_GB2312" w:cs="Times New Roman"/>
                <w:i w:val="0"/>
                <w:iCs w:val="0"/>
                <w:color w:val="000000"/>
                <w:kern w:val="2"/>
                <w:sz w:val="20"/>
                <w:szCs w:val="20"/>
                <w:highlight w:val="none"/>
                <w:u w:val="none"/>
                <w:lang w:val="en-US" w:eastAsia="zh-CN" w:bidi="ar"/>
              </w:rPr>
              <w:t>≥20</w:t>
            </w:r>
            <w:r>
              <w:rPr>
                <w:rStyle w:val="10"/>
                <w:rFonts w:ascii="Times New Roman" w:hAnsi="Times New Roman" w:eastAsia="仿宋_GB2312" w:cs="Times New Roman"/>
                <w:color w:val="000000"/>
                <w:sz w:val="20"/>
                <w:szCs w:val="20"/>
                <w:highlight w:val="none"/>
                <w:lang w:val="en-US" w:eastAsia="zh-CN" w:bidi="ar"/>
              </w:rPr>
              <w:t>家</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r>
              <w:rPr>
                <w:rFonts w:hint="default" w:ascii="Times New Roman" w:hAnsi="Times New Roman" w:eastAsia="仿宋_GB2312" w:cs="Times New Roman"/>
                <w:i w:val="0"/>
                <w:iCs w:val="0"/>
                <w:color w:val="000000"/>
                <w:kern w:val="2"/>
                <w:sz w:val="20"/>
                <w:szCs w:val="20"/>
                <w:highlight w:val="none"/>
                <w:u w:val="none"/>
                <w:lang w:val="en-US" w:eastAsia="zh-CN" w:bidi="ar"/>
              </w:rPr>
              <w:t>22</w:t>
            </w:r>
            <w:r>
              <w:rPr>
                <w:rStyle w:val="10"/>
                <w:rFonts w:ascii="Times New Roman" w:hAnsi="Times New Roman" w:eastAsia="仿宋_GB2312" w:cs="Times New Roman"/>
                <w:color w:val="000000"/>
                <w:sz w:val="20"/>
                <w:szCs w:val="20"/>
                <w:highlight w:val="none"/>
                <w:lang w:val="en-US" w:eastAsia="zh-CN" w:bidi="ar"/>
              </w:rPr>
              <w:t>家</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cs="Times New Roman"/>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eastAsia="zh-CN"/>
              </w:rPr>
            </w:pPr>
            <w:r>
              <w:rPr>
                <w:rStyle w:val="10"/>
                <w:rFonts w:hint="default" w:ascii="Times New Roman" w:hAnsi="Times New Roman" w:eastAsia="仿宋_GB2312" w:cs="Times New Roman"/>
                <w:color w:val="000000"/>
                <w:sz w:val="20"/>
                <w:szCs w:val="20"/>
                <w:highlight w:val="none"/>
                <w:lang w:val="en-US" w:eastAsia="zh-CN" w:bidi="ar"/>
              </w:rPr>
              <w:t>支持对外投资合作项目数量</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w:t>
            </w:r>
            <w:r>
              <w:rPr>
                <w:rStyle w:val="10"/>
                <w:rFonts w:ascii="Times New Roman" w:hAnsi="Times New Roman" w:eastAsia="仿宋_GB2312" w:cs="Times New Roman"/>
                <w:color w:val="000000"/>
                <w:sz w:val="20"/>
                <w:szCs w:val="20"/>
                <w:highlight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142个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eastAsia="zh-CN"/>
              </w:rPr>
            </w:pPr>
            <w:r>
              <w:rPr>
                <w:rStyle w:val="10"/>
                <w:rFonts w:hint="default" w:ascii="Times New Roman" w:hAnsi="Times New Roman" w:cs="Times New Roman"/>
                <w:color w:val="000000"/>
                <w:sz w:val="20"/>
                <w:szCs w:val="20"/>
                <w:highlight w:val="none"/>
                <w:lang w:val="en-US" w:eastAsia="zh-CN" w:bidi="ar"/>
              </w:rPr>
              <w:t>支持举办援外培训班数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r>
              <w:rPr>
                <w:rStyle w:val="10"/>
                <w:rFonts w:ascii="Times New Roman" w:hAnsi="Times New Roman" w:eastAsia="仿宋_GB2312" w:cs="Times New Roman"/>
                <w:color w:val="000000"/>
                <w:sz w:val="20"/>
                <w:szCs w:val="20"/>
                <w:highlight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155个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hint="default" w:ascii="Times New Roman" w:hAnsi="Times New Roman" w:cs="Times New Roman"/>
                <w:color w:val="000000"/>
                <w:sz w:val="20"/>
                <w:szCs w:val="20"/>
                <w:highlight w:val="none"/>
                <w:lang w:val="en-US" w:eastAsia="zh-CN" w:bidi="ar"/>
              </w:rPr>
              <w:t>中欧班列开行列数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w:t>
            </w:r>
            <w:r>
              <w:rPr>
                <w:rStyle w:val="10"/>
                <w:rFonts w:ascii="Times New Roman" w:hAnsi="Times New Roman" w:eastAsia="仿宋_GB2312" w:cs="Times New Roman"/>
                <w:color w:val="000000"/>
                <w:sz w:val="20"/>
                <w:szCs w:val="20"/>
                <w:highlight w:val="none"/>
                <w:u w:val="none"/>
                <w:lang w:val="en-US" w:eastAsia="zh-CN" w:bidi="ar"/>
              </w:rPr>
              <w:t>列</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1057列</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hint="default" w:ascii="Times New Roman" w:hAnsi="Times New Roman" w:cs="Times New Roman"/>
                <w:color w:val="000000"/>
                <w:sz w:val="20"/>
                <w:szCs w:val="20"/>
                <w:highlight w:val="none"/>
                <w:lang w:val="en-US" w:eastAsia="zh-CN" w:bidi="ar"/>
              </w:rPr>
              <w:t>支持境外展项目数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≥700</w:t>
            </w:r>
            <w:r>
              <w:rPr>
                <w:rStyle w:val="10"/>
                <w:rFonts w:ascii="Times New Roman" w:hAnsi="Times New Roman" w:eastAsia="仿宋_GB2312" w:cs="Times New Roman"/>
                <w:color w:val="000000"/>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1262个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hint="default" w:ascii="Times New Roman" w:hAnsi="Times New Roman" w:eastAsia="仿宋_GB2312" w:cs="Times New Roman"/>
                <w:color w:val="000000"/>
                <w:sz w:val="20"/>
                <w:szCs w:val="20"/>
                <w:highlight w:val="none"/>
                <w:lang w:val="en-US" w:eastAsia="zh-CN" w:bidi="ar"/>
              </w:rPr>
              <w:t>支持服务贸易项目数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w:t>
            </w:r>
            <w:r>
              <w:rPr>
                <w:rStyle w:val="10"/>
                <w:rFonts w:ascii="Times New Roman" w:hAnsi="Times New Roman" w:eastAsia="仿宋_GB2312" w:cs="Times New Roman"/>
                <w:color w:val="000000"/>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87个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Style w:val="10"/>
                <w:rFonts w:hint="default" w:ascii="Times New Roman" w:hAnsi="Times New Roman" w:eastAsia="仿宋_GB2312" w:cs="Times New Roman"/>
                <w:color w:val="000000"/>
                <w:sz w:val="20"/>
                <w:szCs w:val="20"/>
                <w:highlight w:val="none"/>
                <w:lang w:val="en-US" w:eastAsia="zh-CN" w:bidi="ar"/>
              </w:rPr>
              <w:t>支持引进高质量项目数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w:t>
            </w:r>
            <w:r>
              <w:rPr>
                <w:rStyle w:val="10"/>
                <w:rFonts w:ascii="Times New Roman" w:hAnsi="Times New Roman" w:eastAsia="仿宋_GB2312" w:cs="Times New Roman"/>
                <w:color w:val="000000"/>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106个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市场运行监测数据报送率</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center"/>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支持引进高质量外资项目数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≥30</w:t>
            </w:r>
            <w:r>
              <w:rPr>
                <w:rFonts w:ascii="Times New Roman" w:hAnsi="Times New Roman" w:eastAsia="仿宋_GB2312" w:cs="Times New Roman"/>
                <w:i w:val="0"/>
                <w:iCs w:val="0"/>
                <w:color w:val="000000"/>
                <w:kern w:val="2"/>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41个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center"/>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支持先进制造业项目数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w:t>
            </w:r>
            <w:r>
              <w:rPr>
                <w:rFonts w:ascii="Times New Roman" w:hAnsi="Times New Roman" w:eastAsia="仿宋_GB2312" w:cs="Times New Roman"/>
                <w:i w:val="0"/>
                <w:iCs w:val="0"/>
                <w:color w:val="000000"/>
                <w:kern w:val="2"/>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92" w:firstLineChars="200"/>
              <w:jc w:val="center"/>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支持服务贸易平台数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w:t>
            </w:r>
            <w:r>
              <w:rPr>
                <w:rFonts w:ascii="Times New Roman" w:hAnsi="Times New Roman" w:eastAsia="仿宋_GB2312" w:cs="Times New Roman"/>
                <w:i w:val="0"/>
                <w:iCs w:val="0"/>
                <w:color w:val="000000"/>
                <w:kern w:val="2"/>
                <w:sz w:val="20"/>
                <w:szCs w:val="20"/>
                <w:highlight w:val="none"/>
                <w:u w:val="none"/>
                <w:lang w:val="en-US" w:eastAsia="zh-CN" w:bidi="ar"/>
              </w:rPr>
              <w:t>个</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资金下达时限</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2025年9月底前</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2025年9月底前</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预算执行金额</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预算控制内</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预算控制内</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widowControl/>
              <w:spacing w:line="240" w:lineRule="exact"/>
              <w:jc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18"/>
                <w:szCs w:val="18"/>
                <w:highlight w:val="none"/>
                <w:lang w:val="en-US" w:eastAsia="zh-CN"/>
              </w:rPr>
              <w:t>（</w:t>
            </w:r>
            <w:r>
              <w:rPr>
                <w:rFonts w:hint="default" w:ascii="Times New Roman" w:hAnsi="Times New Roman" w:eastAsia="仿宋_GB2312" w:cs="Times New Roman"/>
                <w:color w:val="000000"/>
                <w:sz w:val="18"/>
                <w:szCs w:val="18"/>
                <w:highlight w:val="none"/>
              </w:rPr>
              <w:t>30分</w:t>
            </w:r>
            <w:r>
              <w:rPr>
                <w:rFonts w:hint="default" w:ascii="Times New Roman" w:hAnsi="Times New Roman" w:eastAsia="仿宋_GB2312" w:cs="Times New Roman"/>
                <w:color w:val="000000"/>
                <w:sz w:val="18"/>
                <w:szCs w:val="18"/>
                <w:highlight w:val="none"/>
                <w:lang w:val="en-US" w:eastAsia="zh-CN"/>
              </w:rPr>
              <w:t>）</w:t>
            </w:r>
          </w:p>
          <w:p>
            <w:pPr>
              <w:widowControl/>
              <w:spacing w:line="240" w:lineRule="exact"/>
              <w:jc w:val="left"/>
              <w:rPr>
                <w:rFonts w:hint="default" w:ascii="Times New Roman" w:hAnsi="Times New Roman" w:eastAsia="仿宋_GB2312" w:cs="Times New Roman"/>
                <w:color w:val="000000"/>
                <w:sz w:val="20"/>
                <w:szCs w:val="20"/>
                <w:highlight w:val="none"/>
                <w:lang w:eastAsia="zh-CN"/>
              </w:rPr>
            </w:pPr>
          </w:p>
        </w:tc>
        <w:tc>
          <w:tcPr>
            <w:tcW w:w="318" w:type="pct"/>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经济效益指标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ascii="Times New Roman" w:hAnsi="Times New Roman" w:eastAsia="仿宋_GB2312" w:cs="Times New Roman"/>
                <w:i w:val="0"/>
                <w:iCs w:val="0"/>
                <w:color w:val="000000"/>
                <w:kern w:val="2"/>
                <w:sz w:val="20"/>
                <w:szCs w:val="20"/>
                <w:highlight w:val="none"/>
                <w:u w:val="none"/>
                <w:lang w:val="en-US" w:eastAsia="zh-CN" w:bidi="ar"/>
              </w:rPr>
              <w:t>新增限上批零住餐企业数量</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w:t>
            </w:r>
            <w:r>
              <w:rPr>
                <w:rFonts w:ascii="Times New Roman" w:hAnsi="Times New Roman" w:eastAsia="仿宋_GB2312" w:cs="Times New Roman"/>
                <w:i w:val="0"/>
                <w:iCs w:val="0"/>
                <w:color w:val="000000"/>
                <w:kern w:val="2"/>
                <w:sz w:val="20"/>
                <w:szCs w:val="20"/>
                <w:highlight w:val="none"/>
                <w:u w:val="none"/>
                <w:lang w:val="en-US" w:eastAsia="zh-CN" w:bidi="ar"/>
              </w:rPr>
              <w:t>家</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1568家</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服务贸易进出口增幅</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18.22%</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跨境电商企业年交易额</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ascii="Times New Roman" w:hAnsi="Times New Roman" w:eastAsia="仿宋_GB2312" w:cs="Times New Roman"/>
                <w:i w:val="0"/>
                <w:iCs w:val="0"/>
                <w:color w:val="000000"/>
                <w:kern w:val="2"/>
                <w:sz w:val="20"/>
                <w:szCs w:val="20"/>
                <w:highlight w:val="none"/>
                <w:u w:val="none"/>
                <w:lang w:val="en-US" w:eastAsia="zh-CN" w:bidi="ar"/>
              </w:rPr>
              <w:t>正增长</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4.03%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全省对非贸易增幅</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5.80%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社会效益指标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新增加工贸易企业数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w:t>
            </w:r>
            <w:r>
              <w:rPr>
                <w:rFonts w:ascii="Times New Roman" w:hAnsi="Times New Roman" w:eastAsia="仿宋_GB2312" w:cs="Times New Roman"/>
                <w:i w:val="0"/>
                <w:iCs w:val="0"/>
                <w:color w:val="000000"/>
                <w:kern w:val="2"/>
                <w:sz w:val="20"/>
                <w:szCs w:val="20"/>
                <w:highlight w:val="none"/>
                <w:u w:val="none"/>
                <w:lang w:val="en-US" w:eastAsia="zh-CN" w:bidi="ar"/>
              </w:rPr>
              <w:t>家</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25家</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全省湘商回归新注册企业数</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w:t>
            </w:r>
            <w:r>
              <w:rPr>
                <w:rFonts w:ascii="Times New Roman" w:hAnsi="Times New Roman" w:eastAsia="仿宋_GB2312" w:cs="Times New Roman"/>
                <w:i w:val="0"/>
                <w:iCs w:val="0"/>
                <w:color w:val="000000"/>
                <w:kern w:val="2"/>
                <w:sz w:val="20"/>
                <w:szCs w:val="20"/>
                <w:highlight w:val="none"/>
                <w:u w:val="none"/>
                <w:lang w:val="en-US" w:eastAsia="zh-CN" w:bidi="ar"/>
              </w:rPr>
              <w:t>家</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1990家</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ascii="Times New Roman" w:hAnsi="Times New Roman" w:eastAsia="仿宋_GB2312" w:cs="Times New Roman"/>
                <w:i w:val="0"/>
                <w:iCs w:val="0"/>
                <w:color w:val="000000"/>
                <w:kern w:val="2"/>
                <w:sz w:val="20"/>
                <w:szCs w:val="20"/>
                <w:highlight w:val="none"/>
                <w:u w:val="none"/>
                <w:lang w:val="en-US" w:eastAsia="zh-CN" w:bidi="ar"/>
              </w:rPr>
              <w:t>新增境外企业数量</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r>
              <w:rPr>
                <w:rFonts w:ascii="Times New Roman" w:hAnsi="Times New Roman" w:eastAsia="仿宋_GB2312" w:cs="Times New Roman"/>
                <w:i w:val="0"/>
                <w:iCs w:val="0"/>
                <w:color w:val="000000"/>
                <w:kern w:val="2"/>
                <w:sz w:val="20"/>
                <w:szCs w:val="20"/>
                <w:highlight w:val="none"/>
                <w:u w:val="none"/>
                <w:lang w:val="en-US" w:eastAsia="zh-CN" w:bidi="ar"/>
              </w:rPr>
              <w:t>家</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232家</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18" w:type="pct"/>
            <w:vMerge w:val="continue"/>
            <w:tcBorders>
              <w:left w:val="single" w:color="auto" w:sz="4" w:space="0"/>
              <w:bottom w:val="single" w:color="auto" w:sz="4" w:space="0"/>
              <w:right w:val="single" w:color="auto" w:sz="4" w:space="0"/>
            </w:tcBorders>
            <w:noWrap w:val="0"/>
            <w:vAlign w:val="center"/>
          </w:tcPr>
          <w:p>
            <w:pPr>
              <w:widowControl/>
              <w:spacing w:line="240" w:lineRule="exact"/>
              <w:ind w:firstLine="392" w:firstLineChars="200"/>
              <w:jc w:val="left"/>
              <w:rPr>
                <w:rFonts w:hint="default" w:ascii="Times New Roman" w:hAnsi="Times New Roman" w:eastAsia="仿宋_GB2312" w:cs="Times New Roman"/>
                <w:color w:val="000000"/>
                <w:sz w:val="20"/>
                <w:szCs w:val="20"/>
                <w:highlight w:val="none"/>
              </w:rPr>
            </w:pP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Fonts w:ascii="Times New Roman" w:hAnsi="Times New Roman" w:eastAsia="仿宋_GB2312" w:cs="Times New Roman"/>
                <w:i w:val="0"/>
                <w:iCs w:val="0"/>
                <w:color w:val="000000"/>
                <w:kern w:val="2"/>
                <w:sz w:val="20"/>
                <w:szCs w:val="20"/>
                <w:highlight w:val="none"/>
                <w:u w:val="none"/>
                <w:lang w:val="en-US" w:eastAsia="zh-CN" w:bidi="ar"/>
              </w:rPr>
              <w:t>一带一路</w:t>
            </w:r>
            <w:r>
              <w:rPr>
                <w:rFonts w:hint="default" w:ascii="Times New Roman" w:hAnsi="Times New Roman" w:eastAsia="仿宋_GB2312" w:cs="Times New Roman"/>
                <w:i w:val="0"/>
                <w:iCs w:val="0"/>
                <w:color w:val="000000"/>
                <w:kern w:val="2"/>
                <w:sz w:val="20"/>
                <w:szCs w:val="20"/>
                <w:highlight w:val="none"/>
                <w:u w:val="none"/>
                <w:lang w:val="en-US" w:eastAsia="zh-CN" w:bidi="ar"/>
              </w:rPr>
              <w:t>”</w:t>
            </w:r>
            <w:r>
              <w:rPr>
                <w:rFonts w:ascii="Times New Roman" w:hAnsi="Times New Roman" w:eastAsia="仿宋_GB2312" w:cs="Times New Roman"/>
                <w:i w:val="0"/>
                <w:iCs w:val="0"/>
                <w:color w:val="000000"/>
                <w:kern w:val="2"/>
                <w:sz w:val="20"/>
                <w:szCs w:val="20"/>
                <w:highlight w:val="none"/>
                <w:u w:val="none"/>
                <w:lang w:val="en-US" w:eastAsia="zh-CN" w:bidi="ar"/>
              </w:rPr>
              <w:t>国家年度新增境外企业占比</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≥33%</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55.20%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highlight w:val="none"/>
              </w:rPr>
            </w:pPr>
          </w:p>
        </w:tc>
        <w:tc>
          <w:tcPr>
            <w:tcW w:w="33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18"/>
                <w:szCs w:val="18"/>
                <w:highlight w:val="none"/>
              </w:rPr>
              <w:t>（10分）</w:t>
            </w:r>
          </w:p>
        </w:tc>
        <w:tc>
          <w:tcPr>
            <w:tcW w:w="3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9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2"/>
                <w:sz w:val="20"/>
                <w:szCs w:val="20"/>
                <w:highlight w:val="none"/>
                <w:u w:val="none"/>
                <w:lang w:val="en-US" w:eastAsia="zh-CN" w:bidi="ar"/>
              </w:rPr>
              <w:t>工作满意度</w:t>
            </w:r>
          </w:p>
        </w:tc>
        <w:tc>
          <w:tcPr>
            <w:tcW w:w="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7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10</w:t>
            </w:r>
          </w:p>
        </w:tc>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3473" w:type="pct"/>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52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98.8</w:t>
            </w:r>
          </w:p>
        </w:tc>
        <w:tc>
          <w:tcPr>
            <w:tcW w:w="4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eastAsia="zh-CN"/>
              </w:rPr>
            </w:pPr>
          </w:p>
        </w:tc>
      </w:tr>
    </w:tbl>
    <w:p>
      <w:pPr>
        <w:widowControl/>
        <w:spacing w:after="0" w:line="240" w:lineRule="auto"/>
        <w:jc w:val="left"/>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br w:type="page"/>
      </w:r>
    </w:p>
    <w:p>
      <w:pPr>
        <w:widowControl/>
        <w:spacing w:after="200" w:line="560" w:lineRule="exact"/>
        <w:jc w:val="both"/>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widowControl w:val="0"/>
        <w:spacing w:after="0" w:line="560" w:lineRule="exact"/>
        <w:jc w:val="center"/>
        <w:rPr>
          <w:rFonts w:hint="default" w:ascii="Times New Roman" w:hAnsi="Times New Roman" w:eastAsia="方正小标宋简体" w:cs="Times New Roman"/>
          <w:b w:val="0"/>
          <w:bCs w:val="0"/>
          <w:kern w:val="0"/>
          <w:sz w:val="40"/>
          <w:szCs w:val="40"/>
          <w:highlight w:val="none"/>
          <w:lang w:val="en-US" w:eastAsia="zh-CN"/>
        </w:rPr>
      </w:pPr>
      <w:r>
        <w:rPr>
          <w:rFonts w:hint="default" w:ascii="Times New Roman" w:hAnsi="Times New Roman" w:eastAsia="方正小标宋简体" w:cs="Times New Roman"/>
          <w:b w:val="0"/>
          <w:bCs w:val="0"/>
          <w:kern w:val="0"/>
          <w:sz w:val="40"/>
          <w:szCs w:val="40"/>
          <w:highlight w:val="none"/>
          <w:lang w:val="en-US" w:eastAsia="zh-CN"/>
        </w:rPr>
        <w:t>2025年开放型经济与流通产业发展专项支出绩效自评表</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1"/>
        <w:gridCol w:w="1082"/>
        <w:gridCol w:w="1111"/>
        <w:gridCol w:w="2449"/>
        <w:gridCol w:w="1712"/>
        <w:gridCol w:w="1715"/>
        <w:gridCol w:w="882"/>
        <w:gridCol w:w="1296"/>
        <w:gridCol w:w="1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257" w:type="pct"/>
            <w:gridSpan w:val="3"/>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项目支出名称</w:t>
            </w:r>
          </w:p>
        </w:tc>
        <w:tc>
          <w:tcPr>
            <w:tcW w:w="3742" w:type="pct"/>
            <w:gridSpan w:val="6"/>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开放型经济与流通产业发展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257" w:type="pct"/>
            <w:gridSpan w:val="3"/>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3742" w:type="pct"/>
            <w:gridSpan w:val="6"/>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7" w:type="pct"/>
            <w:gridSpan w:val="3"/>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主管部门</w:t>
            </w:r>
          </w:p>
        </w:tc>
        <w:tc>
          <w:tcPr>
            <w:tcW w:w="1603" w:type="pct"/>
            <w:gridSpan w:val="2"/>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湖南省商务厅</w:t>
            </w:r>
          </w:p>
        </w:tc>
        <w:tc>
          <w:tcPr>
            <w:tcW w:w="66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实施单位</w:t>
            </w:r>
          </w:p>
        </w:tc>
        <w:tc>
          <w:tcPr>
            <w:tcW w:w="1477" w:type="pct"/>
            <w:gridSpan w:val="3"/>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市州、县商务部分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12"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项目资金（万元）</w:t>
            </w:r>
          </w:p>
        </w:tc>
        <w:tc>
          <w:tcPr>
            <w:tcW w:w="845" w:type="pct"/>
            <w:gridSpan w:val="2"/>
            <w:vMerge w:val="restar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年初预算数</w:t>
            </w:r>
          </w:p>
        </w:tc>
        <w:tc>
          <w:tcPr>
            <w:tcW w:w="659"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全年预算数</w:t>
            </w:r>
          </w:p>
        </w:tc>
        <w:tc>
          <w:tcPr>
            <w:tcW w:w="660"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全年执行数</w:t>
            </w:r>
          </w:p>
        </w:tc>
        <w:tc>
          <w:tcPr>
            <w:tcW w:w="339"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分值</w:t>
            </w:r>
          </w:p>
        </w:tc>
        <w:tc>
          <w:tcPr>
            <w:tcW w:w="499"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执行率</w:t>
            </w:r>
          </w:p>
        </w:tc>
        <w:tc>
          <w:tcPr>
            <w:tcW w:w="637" w:type="pct"/>
            <w:vMerge w:val="restar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45" w:type="pct"/>
            <w:gridSpan w:val="2"/>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59"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60"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339"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99"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37" w:type="pct"/>
            <w:vMerge w:val="continue"/>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45" w:type="pct"/>
            <w:gridSpan w:val="2"/>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年度资金总额</w:t>
            </w:r>
          </w:p>
        </w:tc>
        <w:tc>
          <w:tcPr>
            <w:tcW w:w="943"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659"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660"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339"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rPr>
            </w:pPr>
            <w:r>
              <w:rPr>
                <w:rFonts w:hint="default" w:ascii="Times New Roman" w:hAnsi="Times New Roman" w:eastAsia="仿宋_GB2312" w:cs="Times New Roman"/>
                <w:color w:val="auto"/>
                <w:kern w:val="0"/>
                <w:sz w:val="20"/>
                <w:szCs w:val="20"/>
                <w:highlight w:val="none"/>
                <w:lang w:val="en-US"/>
              </w:rPr>
              <w:t>10</w:t>
            </w:r>
          </w:p>
        </w:tc>
        <w:tc>
          <w:tcPr>
            <w:tcW w:w="499"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rPr>
            </w:pPr>
            <w:r>
              <w:rPr>
                <w:rFonts w:hint="default" w:ascii="Times New Roman" w:hAnsi="Times New Roman" w:eastAsia="仿宋_GB2312" w:cs="Times New Roman"/>
                <w:color w:val="auto"/>
                <w:kern w:val="0"/>
                <w:sz w:val="20"/>
                <w:szCs w:val="20"/>
                <w:highlight w:val="none"/>
                <w:lang w:val="en-US"/>
              </w:rPr>
              <w:t>100%</w:t>
            </w:r>
          </w:p>
        </w:tc>
        <w:tc>
          <w:tcPr>
            <w:tcW w:w="637"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rPr>
            </w:pPr>
            <w:r>
              <w:rPr>
                <w:rFonts w:hint="default" w:ascii="Times New Roman" w:hAnsi="Times New Roman" w:eastAsia="仿宋_GB2312" w:cs="Times New Roman"/>
                <w:color w:val="auto"/>
                <w:kern w:val="0"/>
                <w:sz w:val="20"/>
                <w:szCs w:val="20"/>
                <w:highlight w:val="none"/>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45" w:type="pct"/>
            <w:gridSpan w:val="2"/>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其中：当年财政拨款</w:t>
            </w:r>
          </w:p>
        </w:tc>
        <w:tc>
          <w:tcPr>
            <w:tcW w:w="943"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659"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660" w:type="pct"/>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134,922</w:t>
            </w:r>
          </w:p>
        </w:tc>
        <w:tc>
          <w:tcPr>
            <w:tcW w:w="33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9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37"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45" w:type="pct"/>
            <w:gridSpan w:val="2"/>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上年结转资金</w:t>
            </w:r>
          </w:p>
        </w:tc>
        <w:tc>
          <w:tcPr>
            <w:tcW w:w="943"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5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60"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33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9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37"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45" w:type="pct"/>
            <w:gridSpan w:val="2"/>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其他资金</w:t>
            </w:r>
          </w:p>
        </w:tc>
        <w:tc>
          <w:tcPr>
            <w:tcW w:w="943"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5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60"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33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99"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637" w:type="pct"/>
            <w:tcBorders>
              <w:tl2br w:val="nil"/>
              <w:tr2bl w:val="nil"/>
            </w:tcBorders>
            <w:shd w:val="clear" w:color="auto" w:fill="auto"/>
            <w:vAlign w:val="bottom"/>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年度总体目标</w:t>
            </w:r>
          </w:p>
        </w:tc>
        <w:tc>
          <w:tcPr>
            <w:tcW w:w="2448" w:type="pct"/>
            <w:gridSpan w:val="4"/>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预期目标</w:t>
            </w:r>
          </w:p>
        </w:tc>
        <w:tc>
          <w:tcPr>
            <w:tcW w:w="2138" w:type="pct"/>
            <w:gridSpan w:val="4"/>
            <w:tcBorders>
              <w:tl2br w:val="nil"/>
              <w:tr2bl w:val="nil"/>
            </w:tcBorders>
            <w:shd w:val="clear" w:color="auto" w:fill="auto"/>
            <w:vAlign w:val="bottom"/>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2448" w:type="pct"/>
            <w:gridSpan w:val="4"/>
            <w:tcBorders>
              <w:tl2br w:val="nil"/>
              <w:tr2bl w:val="nil"/>
            </w:tcBorders>
            <w:shd w:val="clear" w:color="auto" w:fill="auto"/>
            <w:vAlign w:val="center"/>
          </w:tcPr>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1.推动消费持续恢复，继续实施消费品以旧换新，实现全省社零增长不低于4.5%，带动乘用车新车销售10万台以上，销售额150亿元以上；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2.加强市场主体培育，新增限上批零住餐企业数量1000家以上；推动会展业高质量发展，分别支持培育特色展会和打造品牌展会15个、10个以上；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完善市场运行监测，市场运行监测数据报送率70%以上；做好猪肉市场调控，完成猪肉储备量1万吨以上；4.促进外贸保稳提质，支持境外展项目700个以上，新增加工贸易企业10家以上，实现全省外贸进出口总额和外贸实绩主体数量正增长；</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5.加快培育外贸新动能，实现服务贸易进出口额增长10%以上，跨境电商平台湖南卖家（店铺）数正增长；</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6.加大引资力度，支持引进高质量项目和引进高质量外资项目分别超过80个和30个，实现利用外资增长高于全国平均水平；</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7.推动湘商回归，支持开展湘商回归投资促进工作项目10个以上，全省湘商回归新注册企业1000家以上；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8.强化园区招商引资主阵地作用，园区实际使用外资占全省实际使用外资比重50%以上，园区进出口额占全省进出口额比重75%以上；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9.推动对外投资持续发展，支持对外投资合作项目80个以上，新增境外企业100家以上，实现对外承包工程营业额20亿美元以上，对外实际投资额18亿美元以上；带动进出口额超过35亿美元，“一带一路”国家新增投资企业占比超过33%；</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10.持续做好对外劳务和援外工作，支持举办援外培训班100个以上，实现对外劳务带动境外就业5000人以上；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11.推动国际物流通道建设发展，新增或复航国际客货运航线1条以上，保障对非客货运航线稳定运营2条以上；保障湘粤非铁海联运通道、东盟国际货运班列均开行900列以上，本省货物箱量占比大于60%；</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12.推进中欧班列集结中心建设，支持中欧班列稳定开行在1000列以上，带动本省企业货值40%以上，出口方向本省生产企业箱量占比32%以上；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 xml:space="preserve">13.推动中非经贸深度合作先行区建设，实现全省对非贸易增长5%以上，对非进口增幅10%以上，对非易货贸易额5000万元以上； </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14.加强对非经贸合作服务体系建设，支持中非经贸合作服务体系建设项目5个以上；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15.全面落实改革试点任务，总体方案实施率达98%以上，完成制度创新案例10个以上；</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16.推动自贸试验区贸易投资高质量发展，支持先进制造业项目8个以上，支持外贸实体企业6家以上，单个项目支持金额不超过200万元；实现进出口总额占全省比重20%以上</w:t>
            </w:r>
            <w:r>
              <w:rPr>
                <w:rFonts w:hint="default" w:ascii="Times New Roman" w:hAnsi="Times New Roman" w:eastAsia="仿宋_GB2312" w:cs="Times New Roman"/>
                <w:color w:val="auto"/>
                <w:kern w:val="0"/>
                <w:sz w:val="20"/>
                <w:szCs w:val="20"/>
                <w:highlight w:val="none"/>
                <w:lang w:eastAsia="zh-CN"/>
              </w:rPr>
              <w:t>。</w:t>
            </w:r>
          </w:p>
        </w:tc>
        <w:tc>
          <w:tcPr>
            <w:tcW w:w="2138" w:type="pct"/>
            <w:gridSpan w:val="4"/>
            <w:tcBorders>
              <w:tl2br w:val="nil"/>
              <w:tr2bl w:val="nil"/>
            </w:tcBorders>
            <w:shd w:val="clear" w:color="auto" w:fill="auto"/>
            <w:vAlign w:val="center"/>
          </w:tcPr>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消费与市场运行方面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累计带动乘用车新车销售量33万台、新车销售额453亿元，完成猪肉储备量1.72万吨，汽车以旧换新每台汽车补贴金额2万元，每吨储备肉补贴金额0.3万元，社零增幅3.6%，新增限上批零住餐企业数量1568家，市场运行监测数据报送率80%，消费者满意度95%</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2.</w:t>
            </w:r>
            <w:r>
              <w:rPr>
                <w:rFonts w:hint="default" w:ascii="Times New Roman" w:hAnsi="Times New Roman" w:eastAsia="仿宋_GB2312" w:cs="Times New Roman"/>
                <w:color w:val="auto"/>
                <w:kern w:val="0"/>
                <w:sz w:val="20"/>
                <w:szCs w:val="20"/>
                <w:highlight w:val="none"/>
              </w:rPr>
              <w:t>会展服务方面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累计支持培育特色展会数量15个、打造品牌展会数量10个，单个特色展会、品牌展会支持金额均为500万元，累计带动观展人数65万人次</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3.</w:t>
            </w:r>
            <w:r>
              <w:rPr>
                <w:rFonts w:hint="default" w:ascii="Times New Roman" w:hAnsi="Times New Roman" w:eastAsia="仿宋_GB2312" w:cs="Times New Roman"/>
                <w:color w:val="auto"/>
                <w:kern w:val="0"/>
                <w:sz w:val="20"/>
                <w:szCs w:val="20"/>
                <w:highlight w:val="none"/>
              </w:rPr>
              <w:t>服务贸易与外贸发展方面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累计支持服务贸易项目数87个，支持服务贸易平台数5个，服务贸易进出口增幅18.22%，外贸实绩主体数同比增长9.6%，跨境电商企业年交易额同比增长4.03%，跨境电商平台湖南卖家（店铺）数同比增长0.41%，新增加工贸易企业数25家，进出口总额占全省比重27.17%</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4.</w:t>
            </w:r>
            <w:r>
              <w:rPr>
                <w:rFonts w:hint="default" w:ascii="Times New Roman" w:hAnsi="Times New Roman" w:eastAsia="仿宋_GB2312" w:cs="Times New Roman"/>
                <w:color w:val="auto"/>
                <w:kern w:val="0"/>
                <w:sz w:val="20"/>
                <w:szCs w:val="20"/>
                <w:highlight w:val="none"/>
              </w:rPr>
              <w:t>外贸企业支持与人才培育方面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累计支持外贸实体企业数7家，外贸人才培训累计623人次，培训合格率100%，培训满意度97.9%</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5.</w:t>
            </w:r>
            <w:r>
              <w:rPr>
                <w:rFonts w:hint="default" w:ascii="Times New Roman" w:hAnsi="Times New Roman" w:eastAsia="仿宋_GB2312" w:cs="Times New Roman"/>
                <w:color w:val="auto"/>
                <w:kern w:val="0"/>
                <w:sz w:val="20"/>
                <w:szCs w:val="20"/>
                <w:highlight w:val="none"/>
              </w:rPr>
              <w:t>招商引资方面，累计支持引进高质量项目数106个，其中支持引进高质量外资项目数41个，支持产业链精准招商项目数5个，单个产业链精准招商项目奖励金额≤200万元，全省湘商回归新注册企业数1990家，招商企业满意度≥95%，获得支持的企业满意度95%，支持企业政策满意度95%</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6.</w:t>
            </w:r>
            <w:r>
              <w:rPr>
                <w:rFonts w:hint="default" w:ascii="Times New Roman" w:hAnsi="Times New Roman" w:eastAsia="仿宋_GB2312" w:cs="Times New Roman"/>
                <w:color w:val="auto"/>
                <w:kern w:val="0"/>
                <w:sz w:val="20"/>
                <w:szCs w:val="20"/>
                <w:highlight w:val="none"/>
              </w:rPr>
              <w:t>对外投资与国际合作方面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累计支持对外投资合作项目数量142个，对外承包工程完成营业额33.29亿美元，对外实际投资额32.86亿美元，带动进出口额42.7亿美元，新增境外企业数量232家，带动境外就业人数7553人，“一带一路”国家年度新增境外企业占比55.2%，累计支持举办援外培训班数155个，援外培训学员合格率100%，受训学员满意度99.5%</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7.</w:t>
            </w:r>
            <w:r>
              <w:rPr>
                <w:rFonts w:hint="default" w:ascii="Times New Roman" w:hAnsi="Times New Roman" w:eastAsia="仿宋_GB2312" w:cs="Times New Roman"/>
                <w:color w:val="auto"/>
                <w:kern w:val="0"/>
                <w:sz w:val="20"/>
                <w:szCs w:val="20"/>
                <w:highlight w:val="none"/>
              </w:rPr>
              <w:t>物流通道建设方面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中欧班列累计开行1057列，运输成本支持占比20%，带动本省企业货值占比56.96%，出口方向带动本省生产企业箱量占比55.58%，湘粤非铁海联运通道累计开行1237列，带动本省货物箱量占比92.89%，东盟国际货运班列累计开行1220列，带动本省货物箱量占比51%，湘粤非铁海联运和东盟货运班列铁路运费支持金额占铁路货物运单金额比重90%</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val="en-US" w:eastAsia="zh-CN"/>
              </w:rPr>
              <w:t>8.</w:t>
            </w:r>
            <w:r>
              <w:rPr>
                <w:rFonts w:hint="default" w:ascii="Times New Roman" w:hAnsi="Times New Roman" w:eastAsia="仿宋_GB2312" w:cs="Times New Roman"/>
                <w:color w:val="auto"/>
                <w:kern w:val="0"/>
                <w:sz w:val="20"/>
                <w:szCs w:val="20"/>
                <w:highlight w:val="none"/>
              </w:rPr>
              <w:t>对非经贸与国际航线方面</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全省对非贸易增幅5.8%，对非进口增幅27.2%，对非易货贸易额18651万元，新增或复航国际客货运航线条数2条，保障对非客货运航线稳定运营条数2条，国际货运航线平均载货率56%，打造非洲端公共海外仓数量16个，支持中非经贸合作服务体系建设项目数量3个，对非经贸企业满意度100%</w:t>
            </w:r>
            <w:r>
              <w:rPr>
                <w:rFonts w:hint="default" w:ascii="Times New Roman" w:hAnsi="Times New Roman" w:eastAsia="仿宋_GB2312" w:cs="Times New Roman"/>
                <w:color w:val="auto"/>
                <w:kern w:val="0"/>
                <w:sz w:val="20"/>
                <w:szCs w:val="20"/>
                <w:highlight w:val="none"/>
                <w:lang w:eastAsia="zh-CN"/>
              </w:rPr>
              <w:t>。</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9.</w:t>
            </w:r>
            <w:r>
              <w:rPr>
                <w:rFonts w:hint="default" w:ascii="Times New Roman" w:hAnsi="Times New Roman" w:eastAsia="仿宋_GB2312" w:cs="Times New Roman"/>
                <w:color w:val="auto"/>
                <w:kern w:val="0"/>
                <w:sz w:val="20"/>
                <w:szCs w:val="20"/>
                <w:highlight w:val="none"/>
              </w:rPr>
              <w:t>改革创新与园区发展方面，总体方案改革试点任务实施率99.17%，完成制度创新案例数26个，园区实际使用外资占全省实际使用外资比重85.4%，园区进出口额占全省进出口额比重87.1%，利用外资增幅与上年持平，区内企业满意度95%，所有相关资金下达时限为2025年9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绩效目标</w:t>
            </w:r>
          </w:p>
        </w:tc>
        <w:tc>
          <w:tcPr>
            <w:tcW w:w="417"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一级指标</w:t>
            </w:r>
          </w:p>
        </w:tc>
        <w:tc>
          <w:tcPr>
            <w:tcW w:w="428"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二级指标</w:t>
            </w:r>
          </w:p>
        </w:tc>
        <w:tc>
          <w:tcPr>
            <w:tcW w:w="943"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三级指标</w:t>
            </w:r>
          </w:p>
        </w:tc>
        <w:tc>
          <w:tcPr>
            <w:tcW w:w="659"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年度指标值</w:t>
            </w:r>
          </w:p>
        </w:tc>
        <w:tc>
          <w:tcPr>
            <w:tcW w:w="66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实际完成值</w:t>
            </w:r>
          </w:p>
        </w:tc>
        <w:tc>
          <w:tcPr>
            <w:tcW w:w="339"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分值</w:t>
            </w:r>
          </w:p>
        </w:tc>
        <w:tc>
          <w:tcPr>
            <w:tcW w:w="499"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得分</w:t>
            </w:r>
          </w:p>
        </w:tc>
        <w:tc>
          <w:tcPr>
            <w:tcW w:w="637"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restart"/>
            <w:tcBorders>
              <w:tl2br w:val="nil"/>
              <w:tr2bl w:val="nil"/>
            </w:tcBorders>
            <w:shd w:val="clear" w:color="auto" w:fill="auto"/>
            <w:vAlign w:val="center"/>
          </w:tcPr>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Style w:val="10"/>
                <w:rFonts w:hint="default" w:ascii="Times New Roman" w:hAnsi="Times New Roman" w:eastAsia="仿宋_GB2312" w:cs="Times New Roman"/>
                <w:color w:val="auto"/>
                <w:kern w:val="0"/>
                <w:sz w:val="20"/>
                <w:szCs w:val="20"/>
                <w:highlight w:val="none"/>
              </w:rPr>
            </w:pPr>
          </w:p>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Style w:val="10"/>
                <w:rFonts w:hint="default" w:ascii="Times New Roman" w:hAnsi="Times New Roman" w:eastAsia="仿宋_GB2312" w:cs="Times New Roman"/>
                <w:color w:val="auto"/>
                <w:kern w:val="0"/>
                <w:sz w:val="20"/>
                <w:szCs w:val="20"/>
                <w:highlight w:val="none"/>
              </w:rPr>
              <w:t>绩效指标</w:t>
            </w:r>
          </w:p>
        </w:tc>
        <w:tc>
          <w:tcPr>
            <w:tcW w:w="417"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产出指标（</w:t>
            </w:r>
            <w:r>
              <w:rPr>
                <w:rStyle w:val="10"/>
                <w:rFonts w:hint="default" w:ascii="Times New Roman" w:hAnsi="Times New Roman" w:eastAsia="仿宋_GB2312" w:cs="Times New Roman"/>
                <w:color w:val="auto"/>
                <w:kern w:val="0"/>
                <w:sz w:val="20"/>
                <w:szCs w:val="20"/>
                <w:highlight w:val="none"/>
              </w:rPr>
              <w:t>50</w:t>
            </w:r>
            <w:r>
              <w:rPr>
                <w:rFonts w:hint="default" w:ascii="Times New Roman" w:hAnsi="Times New Roman" w:eastAsia="仿宋_GB2312" w:cs="Times New Roman"/>
                <w:color w:val="auto"/>
                <w:kern w:val="0"/>
                <w:sz w:val="20"/>
                <w:szCs w:val="20"/>
                <w:highlight w:val="none"/>
              </w:rPr>
              <w:t>分）</w:t>
            </w: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数量指标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带动乘用车新车销售量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≥10万台</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33万台</w:t>
            </w:r>
          </w:p>
        </w:tc>
        <w:tc>
          <w:tcPr>
            <w:tcW w:w="33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49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猪肉储备量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≥1万吨</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1.72万吨</w:t>
            </w:r>
          </w:p>
        </w:tc>
        <w:tc>
          <w:tcPr>
            <w:tcW w:w="33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49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支持培育特色展会数量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支持打造品牌展会数量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支持服务贸易项目数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87个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支持境外展项目数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1262个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外贸人才培训人次</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≥700人次</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623人次</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支持引进高质量项目数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106个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支持开展湘商回归投资促进工作项目数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keepNext w:val="0"/>
              <w:keepLines w:val="0"/>
              <w:widowControl/>
              <w:suppressLineNumbers w:val="0"/>
              <w:spacing w:line="240" w:lineRule="exact"/>
              <w:jc w:val="both"/>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《实施办法》是试行文件，到2025年试行期满需进行修订，重新修订后的文件正式印发时间是2026年1月，因此2025年的300万元工作经费无法按财政相关规定进行政府采购流程。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支持产业链精准招商</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keepNext w:val="0"/>
              <w:keepLines w:val="0"/>
              <w:widowControl/>
              <w:suppressLineNumbers w:val="0"/>
              <w:spacing w:line="240" w:lineRule="exact"/>
              <w:jc w:val="both"/>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前期摸底全省新引进22个抱团产业链项目，经第三方审核5个项目符合资金支持要求。下一步将加强指导，围绕重点产业链项目招商。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支持对外投资合作项目</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142个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支持举办援外培训班数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155个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中欧班列开行列数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≥1000列</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1057列</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湘粤非铁海联运通道开行列数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≥900列</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1237列</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东盟国际货运班列开行</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列数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≥900列</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1220列</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支持项目数量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22个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72个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质量指标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市场运行监测数据报送率</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支持服务贸易平台数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外贸人才培训合格率</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支持引进高质量外资</w:t>
            </w:r>
          </w:p>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41个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援外培训学员合格率</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新增或复航国际客货运航线条数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≥1条</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2条</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保障对非客货运航线稳定运营条数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≥2条</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2条</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支持中非经贸合作服务体系建设项目数量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sz w:val="20"/>
                <w:szCs w:val="20"/>
                <w:highlight w:val="none"/>
                <w:u w:val="none"/>
                <w:lang w:bidi="ar"/>
              </w:rPr>
              <w:t>中非经贸合作服务体系多数项目正在培育和建设中，或处于起步阶段，与政策要求的实效还存在一定差距。下一步将加快推进重点项目建设并发挥实效；进一步优化完善政策。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支持外贸实体企业数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≥6家</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7家</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支持先进制造业项目数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时效指标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资金下达时限</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2025年9月底前</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2025年9月底前</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6</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6</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成本指标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汽车以旧换新每台汽车补贴金额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每吨储备肉补贴金额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≤0.3万元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0.3万元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单个特色展会支持金额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单个品牌展会支持金额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单个服务贸易项目支持</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单个境外展项目支持金额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外贸人才培训支出金额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≤180万元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158.68万元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单个高质量项目支持金额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单个湘商回归投资促进工作项目支持金额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单个产业链精准招商项目奖励金额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中欧班列运输成本支持</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湘粤非铁海联运和东盟货运班列铁路运费支持金额占铁路货物运单金额比重</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360万元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单个企业支持金额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360万元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单个外贸实体项目支持</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无</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单个先进制造业项目支持金额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无</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效益指标（</w:t>
            </w:r>
            <w:r>
              <w:rPr>
                <w:rStyle w:val="10"/>
                <w:rFonts w:hint="default" w:ascii="Times New Roman" w:hAnsi="Times New Roman" w:eastAsia="仿宋_GB2312" w:cs="Times New Roman"/>
                <w:color w:val="auto"/>
                <w:kern w:val="0"/>
                <w:sz w:val="20"/>
                <w:szCs w:val="20"/>
                <w:highlight w:val="none"/>
              </w:rPr>
              <w:t>30</w:t>
            </w:r>
            <w:r>
              <w:rPr>
                <w:rFonts w:hint="default" w:ascii="Times New Roman" w:hAnsi="Times New Roman" w:eastAsia="仿宋_GB2312" w:cs="Times New Roman"/>
                <w:color w:val="auto"/>
                <w:kern w:val="0"/>
                <w:sz w:val="20"/>
                <w:szCs w:val="20"/>
                <w:highlight w:val="none"/>
              </w:rPr>
              <w:t>分）</w:t>
            </w: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经济效益指标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社零增幅</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3.60%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keepNext w:val="0"/>
              <w:keepLines w:val="0"/>
              <w:widowControl/>
              <w:suppressLineNumbers w:val="0"/>
              <w:spacing w:line="240" w:lineRule="exact"/>
              <w:jc w:val="both"/>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宏观环境持续承压，非经济因素严重冲击。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新增限上批零住餐企业</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≥1000家</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1568家</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带动乘用车新车销售额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≥150亿元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453亿元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全省进出口总额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正增长</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-3.90%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bidi="ar"/>
              </w:rPr>
              <w:t>受贸易摩擦频发、贸易壁垒抬升影响，我省传统核心外贸市场大幅萎缩，其中，对美国、欧洲进出口分别下降30.1%、11.9%，分别减少112.8亿元和104.5亿元。传统市场占比较高，新兴市场基数尚低，短期内难以弥补传统市场萎缩带来的缺口。下一步一是持续开展省级外贸提质增效工作，助力陶瓷和新能源产业链平台建设、市场拓展及品牌建设，帮助提升企业产品附加值及出口竞争力。二是持续推进“湘贸全球”服务年行动，加强相关行业企业对接联络与服务工作，切实帮忙企业排忧解难。三是扩围“湘贸全球”重点境外展会目录，举办经贸对接活动，帮助企业对接市场资源，降低企业拓市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外贸实绩主体数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正增长</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9.60%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服务贸易进出口增幅</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18.22%</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跨境电商企业年交易额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正增长</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4.03%</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利用外资增幅</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高于全国平均</w:t>
            </w:r>
          </w:p>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水平</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持平</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园区实际使用外资占全省实际使用外资比重</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85.40%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园区进出口额占全省进出口额比重</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87.10%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对外承包工程完成营业额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≥20亿美元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33.29亿美元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对外实际投资额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≥18亿美元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32.86亿美元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带动进出口额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≥35亿美元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42.7亿美元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中欧班列带动本省企业货值占比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56.96%</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湘粤非铁海联运通道带动本省货物箱量占比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92.89%</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东盟货运班列带动本省货物箱量占比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51%</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keepNext w:val="0"/>
              <w:keepLines w:val="0"/>
              <w:widowControl/>
              <w:suppressLineNumbers w:val="0"/>
              <w:spacing w:line="240" w:lineRule="exact"/>
              <w:jc w:val="both"/>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统计口径不一致。以前年度，怀化市关于东盟货运班列的统计包括注册在本省的货代、生产、贸易三类企业，目前仅包括注册在本省的生产、贸易企业。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中欧班列出口方向带动本省生产企业箱量占比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≥32%</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55.58%</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全省对非贸易增幅</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5.80%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全省对非进口增幅</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27.20%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全省对非易货贸易额</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≥5000万元</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18651万元</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进出口总额占全省比重</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27.17%</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spacing w:line="240" w:lineRule="exact"/>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社会效益指标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带动观展人数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≥50万人次</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65万人次</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新增加工贸易企业数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≥10家</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25家</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跨境电商平台湖南卖家（店铺）数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正增长</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0.41%</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全省湘商回归新注册</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企业数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≥1000家</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1990家</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新增境外企业数量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≥100家</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232家</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带动境外就业人数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≥5000人</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7553人</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“一带一路”国家年度新增境外企业占比</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≥33%</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55.20%</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国际货运航线平均载货率</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≥60%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56%</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bidi="ar"/>
              </w:rPr>
              <w:t>因美国加征关税影响，导致纽约航线直接停航，从而影响货运航线整体载货率。后续制定航线载货率指标时，将适当考虑国际形势影响</w:t>
            </w:r>
            <w:r>
              <w:rPr>
                <w:rFonts w:hint="default" w:ascii="Times New Roman" w:hAnsi="Times New Roman" w:eastAsia="仿宋_GB2312" w:cs="Times New Roman"/>
                <w:color w:val="000000"/>
                <w:kern w:val="2"/>
                <w:sz w:val="20"/>
                <w:szCs w:val="20"/>
                <w:highlight w:val="none"/>
                <w:u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打造非洲端公共海外仓</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数量</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16个</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总体方案改革试点任务实施率</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≥98%</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99.17%</w:t>
            </w:r>
          </w:p>
        </w:tc>
        <w:tc>
          <w:tcPr>
            <w:tcW w:w="882"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完成制度创新案例数</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≥10个</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26个</w:t>
            </w:r>
          </w:p>
        </w:tc>
        <w:tc>
          <w:tcPr>
            <w:tcW w:w="339" w:type="pct"/>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499" w:type="pct"/>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满意度指标（</w:t>
            </w:r>
            <w:r>
              <w:rPr>
                <w:rStyle w:val="10"/>
                <w:rFonts w:hint="default" w:ascii="Times New Roman" w:hAnsi="Times New Roman" w:eastAsia="仿宋_GB2312" w:cs="Times New Roman"/>
                <w:color w:val="auto"/>
                <w:kern w:val="0"/>
                <w:sz w:val="20"/>
                <w:szCs w:val="20"/>
                <w:highlight w:val="none"/>
              </w:rPr>
              <w:t>10</w:t>
            </w:r>
            <w:r>
              <w:rPr>
                <w:rFonts w:hint="default" w:ascii="Times New Roman" w:hAnsi="Times New Roman" w:eastAsia="仿宋_GB2312" w:cs="Times New Roman"/>
                <w:color w:val="auto"/>
                <w:kern w:val="0"/>
                <w:sz w:val="20"/>
                <w:szCs w:val="20"/>
                <w:highlight w:val="none"/>
              </w:rPr>
              <w:t>分）</w:t>
            </w:r>
          </w:p>
        </w:tc>
        <w:tc>
          <w:tcPr>
            <w:tcW w:w="42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服务对象满意度指标</w:t>
            </w: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消费者满意度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获得支持的企业满意度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外贸人才培训满意度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97.90%</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招商企业满意度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支持企业政策满意度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援外培训受训学员满意度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99.50%</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对非经贸企业满意度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12"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17"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428" w:type="pct"/>
            <w:vMerge w:val="continue"/>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p>
        </w:tc>
        <w:tc>
          <w:tcPr>
            <w:tcW w:w="943"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区内企业满意度</w:t>
            </w:r>
          </w:p>
        </w:tc>
        <w:tc>
          <w:tcPr>
            <w:tcW w:w="659"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w:t>
            </w:r>
          </w:p>
        </w:tc>
        <w:tc>
          <w:tcPr>
            <w:tcW w:w="660"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882"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1296" w:type="dxa"/>
            <w:tcBorders>
              <w:tl2br w:val="nil"/>
              <w:tr2bl w:val="nil"/>
            </w:tcBorders>
            <w:shd w:val="clear" w:color="auto" w:fill="auto"/>
            <w:vAlign w:val="center"/>
          </w:tcPr>
          <w:p>
            <w:pPr>
              <w:widowControl/>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0.5</w:t>
            </w:r>
          </w:p>
        </w:tc>
        <w:tc>
          <w:tcPr>
            <w:tcW w:w="637" w:type="pct"/>
            <w:tcBorders>
              <w:tl2br w:val="nil"/>
              <w:tr2bl w:val="nil"/>
            </w:tcBorders>
            <w:shd w:val="clear" w:color="auto" w:fill="auto"/>
            <w:vAlign w:val="center"/>
          </w:tcPr>
          <w:p>
            <w:pPr>
              <w:widowControl/>
              <w:spacing w:line="240" w:lineRule="exact"/>
              <w:jc w:val="left"/>
              <w:textAlignment w:val="auto"/>
              <w:rPr>
                <w:rFonts w:hint="default" w:ascii="Times New Roman" w:hAnsi="Times New Roman" w:eastAsia="仿宋_GB2312" w:cs="Times New Roman"/>
                <w:color w:val="000000"/>
                <w:kern w:val="2"/>
                <w:sz w:val="20"/>
                <w:szCs w:val="20"/>
                <w:highlight w:val="none"/>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522" w:type="pct"/>
            <w:gridSpan w:val="6"/>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总分</w:t>
            </w:r>
          </w:p>
        </w:tc>
        <w:tc>
          <w:tcPr>
            <w:tcW w:w="339" w:type="pct"/>
            <w:tcBorders>
              <w:tl2br w:val="nil"/>
              <w:tr2bl w:val="nil"/>
            </w:tcBorders>
            <w:shd w:val="clear" w:color="auto" w:fill="auto"/>
            <w:noWrap/>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100</w:t>
            </w:r>
          </w:p>
        </w:tc>
        <w:tc>
          <w:tcPr>
            <w:tcW w:w="499"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95</w:t>
            </w:r>
          </w:p>
        </w:tc>
        <w:tc>
          <w:tcPr>
            <w:tcW w:w="637"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p>
    <w:p>
      <w:pPr>
        <w:pStyle w:val="6"/>
        <w:rPr>
          <w:rFonts w:hint="default" w:ascii="Times New Roman" w:hAnsi="Times New Roman" w:eastAsia="黑体" w:cs="Times New Roman"/>
          <w:sz w:val="32"/>
          <w:szCs w:val="32"/>
          <w:highlight w:val="none"/>
          <w:lang w:val="en-US" w:eastAsia="zh-CN"/>
        </w:rPr>
      </w:pPr>
    </w:p>
    <w:p>
      <w:pPr>
        <w:pStyle w:val="6"/>
        <w:rPr>
          <w:rFonts w:hint="default" w:ascii="Times New Roman" w:hAnsi="Times New Roman" w:eastAsia="黑体" w:cs="Times New Roman"/>
          <w:sz w:val="32"/>
          <w:szCs w:val="32"/>
          <w:highlight w:val="none"/>
          <w:lang w:val="en-US" w:eastAsia="zh-CN"/>
        </w:rPr>
      </w:pPr>
    </w:p>
    <w:p>
      <w:pPr>
        <w:pStyle w:val="6"/>
        <w:rPr>
          <w:rFonts w:hint="default" w:ascii="Times New Roman" w:hAnsi="Times New Roman" w:eastAsia="黑体" w:cs="Times New Roman"/>
          <w:sz w:val="32"/>
          <w:szCs w:val="32"/>
          <w:highlight w:val="none"/>
          <w:lang w:val="en-US" w:eastAsia="zh-CN"/>
        </w:rPr>
      </w:pPr>
    </w:p>
    <w:p>
      <w:pPr>
        <w:pStyle w:val="6"/>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附件4</w:t>
      </w:r>
    </w:p>
    <w:p>
      <w:pPr>
        <w:widowControl w:val="0"/>
        <w:spacing w:after="0" w:line="560" w:lineRule="exact"/>
        <w:jc w:val="center"/>
        <w:rPr>
          <w:rFonts w:hint="default" w:ascii="Times New Roman" w:hAnsi="Times New Roman" w:eastAsia="方正小标宋简体" w:cs="Times New Roman"/>
          <w:b w:val="0"/>
          <w:bCs w:val="0"/>
          <w:color w:val="auto"/>
          <w:kern w:val="0"/>
          <w:sz w:val="40"/>
          <w:szCs w:val="40"/>
          <w:highlight w:val="none"/>
        </w:rPr>
      </w:pPr>
      <w:r>
        <w:rPr>
          <w:rFonts w:hint="default" w:ascii="Times New Roman" w:hAnsi="Times New Roman" w:eastAsia="方正小标宋简体" w:cs="Times New Roman"/>
          <w:b w:val="0"/>
          <w:bCs w:val="0"/>
          <w:color w:val="auto"/>
          <w:kern w:val="0"/>
          <w:sz w:val="40"/>
          <w:szCs w:val="40"/>
          <w:highlight w:val="none"/>
          <w:lang w:eastAsia="zh-CN"/>
        </w:rPr>
        <w:t>202</w:t>
      </w:r>
      <w:r>
        <w:rPr>
          <w:rFonts w:hint="default" w:ascii="Times New Roman" w:hAnsi="Times New Roman" w:eastAsia="方正小标宋简体" w:cs="Times New Roman"/>
          <w:b w:val="0"/>
          <w:bCs w:val="0"/>
          <w:color w:val="auto"/>
          <w:kern w:val="0"/>
          <w:sz w:val="40"/>
          <w:szCs w:val="40"/>
          <w:highlight w:val="none"/>
          <w:lang w:val="en-US" w:eastAsia="zh-CN"/>
        </w:rPr>
        <w:t>5</w:t>
      </w:r>
      <w:r>
        <w:rPr>
          <w:rFonts w:hint="default" w:ascii="Times New Roman" w:hAnsi="Times New Roman" w:eastAsia="方正小标宋简体" w:cs="Times New Roman"/>
          <w:b w:val="0"/>
          <w:bCs w:val="0"/>
          <w:color w:val="auto"/>
          <w:kern w:val="0"/>
          <w:sz w:val="40"/>
          <w:szCs w:val="40"/>
          <w:highlight w:val="none"/>
        </w:rPr>
        <w:t>年度项目支出绩效自评表</w:t>
      </w: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7"/>
        <w:gridCol w:w="1227"/>
        <w:gridCol w:w="1128"/>
        <w:gridCol w:w="2248"/>
        <w:gridCol w:w="1553"/>
        <w:gridCol w:w="1927"/>
        <w:gridCol w:w="856"/>
        <w:gridCol w:w="1297"/>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项目支出名称</w:t>
            </w:r>
          </w:p>
        </w:tc>
        <w:tc>
          <w:tcPr>
            <w:tcW w:w="4391" w:type="pct"/>
            <w:gridSpan w:val="8"/>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项目资金（万元）</w:t>
            </w:r>
          </w:p>
        </w:tc>
        <w:tc>
          <w:tcPr>
            <w:tcW w:w="908" w:type="pct"/>
            <w:gridSpan w:val="2"/>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867"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年初预算数</w:t>
            </w:r>
          </w:p>
        </w:tc>
        <w:tc>
          <w:tcPr>
            <w:tcW w:w="598"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全年预算数</w:t>
            </w:r>
          </w:p>
        </w:tc>
        <w:tc>
          <w:tcPr>
            <w:tcW w:w="741"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全年执行数</w:t>
            </w:r>
          </w:p>
        </w:tc>
        <w:tc>
          <w:tcPr>
            <w:tcW w:w="33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分值</w:t>
            </w:r>
          </w:p>
        </w:tc>
        <w:tc>
          <w:tcPr>
            <w:tcW w:w="50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执行率</w:t>
            </w:r>
          </w:p>
        </w:tc>
        <w:tc>
          <w:tcPr>
            <w:tcW w:w="446"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908" w:type="pct"/>
            <w:gridSpan w:val="2"/>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年度资金总额</w:t>
            </w:r>
          </w:p>
        </w:tc>
        <w:tc>
          <w:tcPr>
            <w:tcW w:w="867"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4,642.61</w:t>
            </w:r>
          </w:p>
        </w:tc>
        <w:tc>
          <w:tcPr>
            <w:tcW w:w="598"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24,245.17</w:t>
            </w:r>
          </w:p>
        </w:tc>
        <w:tc>
          <w:tcPr>
            <w:tcW w:w="741"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22,211.79</w:t>
            </w:r>
          </w:p>
        </w:tc>
        <w:tc>
          <w:tcPr>
            <w:tcW w:w="33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eastAsia="zh-CN"/>
              </w:rPr>
            </w:pPr>
          </w:p>
        </w:tc>
        <w:tc>
          <w:tcPr>
            <w:tcW w:w="50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91.61</w:t>
            </w:r>
          </w:p>
        </w:tc>
        <w:tc>
          <w:tcPr>
            <w:tcW w:w="446"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restar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年度总体目标</w:t>
            </w:r>
          </w:p>
        </w:tc>
        <w:tc>
          <w:tcPr>
            <w:tcW w:w="2374" w:type="pct"/>
            <w:gridSpan w:val="4"/>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预期目标</w:t>
            </w:r>
          </w:p>
        </w:tc>
        <w:tc>
          <w:tcPr>
            <w:tcW w:w="2017" w:type="pct"/>
            <w:gridSpan w:val="4"/>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2374" w:type="pct"/>
            <w:gridSpan w:val="4"/>
            <w:tcBorders>
              <w:tl2br w:val="nil"/>
              <w:tr2bl w:val="nil"/>
            </w:tcBorders>
            <w:shd w:val="clear" w:color="auto" w:fill="auto"/>
            <w:vAlign w:val="center"/>
          </w:tcPr>
          <w:p>
            <w:pPr>
              <w:widowControl/>
              <w:spacing w:line="0" w:lineRule="atLeast"/>
              <w:jc w:val="both"/>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做好网络安全保障、信息化基础设施运行保障、智能化会议保障、政务信息系统和网站运维管理，确保厅数字化办公平台、各政务信息系统、厅门户网站健康稳定运行，提升会议智能化水平，增强厅微信公众号宣传力度</w:t>
            </w: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rPr>
              <w:t>高水平筹办第四届中非经贸博览会，务实推进经贸对接、主题推介、展览展示、实地考察等一系列活动，着力打造“湖南搭台、全国参与、中非共享”的办会新格局，服务中非合作“十大伙伴行动”及经贸举措的落地实施，助力中非经贸深度合作先行区的建设</w:t>
            </w:r>
            <w:r>
              <w:rPr>
                <w:rFonts w:hint="default" w:ascii="Times New Roman" w:hAnsi="Times New Roman" w:eastAsia="仿宋_GB2312" w:cs="Times New Roman"/>
                <w:color w:val="auto"/>
                <w:kern w:val="0"/>
                <w:sz w:val="20"/>
                <w:szCs w:val="20"/>
                <w:highlight w:val="none"/>
                <w:lang w:eastAsia="zh-CN"/>
              </w:rPr>
              <w:t>；组织和举办促消费活动，</w:t>
            </w:r>
          </w:p>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eastAsia="zh-CN"/>
              </w:rPr>
              <w:t>积极呼吁、组织企业参加活动，营造良好的消费氛围，全力推进商贸流通体系建设；开展商务和开放型经济宣传，向世界展示湖南良好的营商环境；开展行业统计分析，了解行业发展情况，加强商务信息化建设，提升信息平台对商务发展的支撑作用。</w:t>
            </w:r>
          </w:p>
        </w:tc>
        <w:tc>
          <w:tcPr>
            <w:tcW w:w="2017" w:type="pct"/>
            <w:gridSpan w:val="4"/>
            <w:tcBorders>
              <w:tl2br w:val="nil"/>
              <w:tr2bl w:val="nil"/>
            </w:tcBorders>
            <w:shd w:val="clear" w:color="auto" w:fill="auto"/>
            <w:vAlign w:val="center"/>
          </w:tcPr>
          <w:p>
            <w:pPr>
              <w:widowControl/>
              <w:spacing w:line="0" w:lineRule="atLeast"/>
              <w:jc w:val="both"/>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rPr>
              <w:t>场地搭建方面，完成255平方米湖南特色馆搭建、100平方米展览面积设置、500平方米湖南展馆搭建，湖南展馆可容纳40余家企业展示，本次共有23家企业的产品在湖南展馆展出；经贸成果方面，实现意向成交金额2309.9万元，完成9个市州的组展工作，组织展商与采购商开展现场供需对接不少于10次，累计组织200家省内龙头企业、业内知名品牌企业参与相关活动；活动开展方面，累计举办各类活动</w:t>
            </w:r>
            <w:r>
              <w:rPr>
                <w:rFonts w:hint="default" w:ascii="Times New Roman" w:hAnsi="Times New Roman" w:eastAsia="仿宋_GB2312" w:cs="Times New Roman"/>
                <w:color w:val="auto"/>
                <w:kern w:val="0"/>
                <w:sz w:val="20"/>
                <w:szCs w:val="20"/>
                <w:highlight w:val="none"/>
                <w:lang w:val="en-US" w:eastAsia="zh-CN"/>
              </w:rPr>
              <w:t>5</w:t>
            </w:r>
            <w:r>
              <w:rPr>
                <w:rFonts w:hint="default" w:ascii="Times New Roman" w:hAnsi="Times New Roman" w:eastAsia="仿宋_GB2312" w:cs="Times New Roman"/>
                <w:color w:val="auto"/>
                <w:kern w:val="0"/>
                <w:sz w:val="20"/>
                <w:szCs w:val="20"/>
                <w:highlight w:val="none"/>
              </w:rPr>
              <w:t>5场，其中境外经贸活动3场，开展家政服务供需对接会覆盖7家企业，完成3项湖南家政行业团体标准立项；宣传与保障方面，完成相关宣传报道8次，提供7天后勤保障服务，组团参展参会时间为12月19日-</w:t>
            </w:r>
            <w:r>
              <w:rPr>
                <w:rFonts w:hint="default" w:ascii="Times New Roman" w:hAnsi="Times New Roman" w:eastAsia="仿宋_GB2312" w:cs="Times New Roman"/>
                <w:color w:val="auto"/>
                <w:kern w:val="0"/>
                <w:sz w:val="20"/>
                <w:szCs w:val="20"/>
                <w:highlight w:val="none"/>
                <w:lang w:val="en-US" w:eastAsia="zh-CN"/>
              </w:rPr>
              <w:t>22</w:t>
            </w:r>
            <w:r>
              <w:rPr>
                <w:rFonts w:hint="default" w:ascii="Times New Roman" w:hAnsi="Times New Roman" w:eastAsia="仿宋_GB2312" w:cs="Times New Roman"/>
                <w:color w:val="auto"/>
                <w:kern w:val="0"/>
                <w:sz w:val="20"/>
                <w:szCs w:val="20"/>
                <w:highlight w:val="none"/>
              </w:rPr>
              <w:t>日，展馆搭建工作于4月1日</w:t>
            </w: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0日完成；质量管控方面，活动验收合格率、物料设计制作交付合格率均达100%，整体差错率控制在0.2‰以内，参展企业满意度不低于95%；整体成效方面，吸引中外企业投资湖南、拉动湖南内外贸增长的成效较好，展示湖南产业优势、促进商贸流通和产销对接以及助力民生发展提升群众生活水平的成效均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restart"/>
            <w:tcBorders>
              <w:tl2br w:val="nil"/>
              <w:tr2bl w:val="nil"/>
            </w:tcBorders>
            <w:shd w:val="clear" w:color="auto" w:fill="auto"/>
            <w:textDirection w:val="tbRlV"/>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绩效指标</w:t>
            </w:r>
          </w:p>
        </w:tc>
        <w:tc>
          <w:tcPr>
            <w:tcW w:w="473"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一级指标</w:t>
            </w:r>
          </w:p>
        </w:tc>
        <w:tc>
          <w:tcPr>
            <w:tcW w:w="434"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二级指标</w:t>
            </w:r>
          </w:p>
        </w:tc>
        <w:tc>
          <w:tcPr>
            <w:tcW w:w="867"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三级指标</w:t>
            </w:r>
          </w:p>
        </w:tc>
        <w:tc>
          <w:tcPr>
            <w:tcW w:w="598"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年度指标值</w:t>
            </w:r>
          </w:p>
        </w:tc>
        <w:tc>
          <w:tcPr>
            <w:tcW w:w="741"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实际完成值</w:t>
            </w:r>
          </w:p>
        </w:tc>
        <w:tc>
          <w:tcPr>
            <w:tcW w:w="330"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分值</w:t>
            </w:r>
          </w:p>
        </w:tc>
        <w:tc>
          <w:tcPr>
            <w:tcW w:w="500"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得分</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产出指标</w:t>
            </w:r>
          </w:p>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（50分）</w:t>
            </w: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数量指标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搭建湖南特色馆</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200平方米</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255平方米</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展览面积</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100平方米</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100平方米</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608" w:type="pct"/>
            <w:vMerge w:val="continue"/>
            <w:tcBorders>
              <w:tl2br w:val="nil"/>
              <w:tr2bl w:val="nil"/>
            </w:tcBorders>
            <w:shd w:val="clear" w:color="auto" w:fill="auto"/>
            <w:textDirection w:val="tbRlV"/>
            <w:vAlign w:val="center"/>
          </w:tcPr>
          <w:p>
            <w:pPr>
              <w:rPr>
                <w:rFonts w:hint="default" w:ascii="Times New Roman" w:hAnsi="Times New Roman" w:eastAsia="仿宋_GB2312" w:cs="Times New Roman"/>
                <w:sz w:val="20"/>
                <w:szCs w:val="20"/>
              </w:rPr>
            </w:pPr>
          </w:p>
        </w:tc>
        <w:tc>
          <w:tcPr>
            <w:tcW w:w="473" w:type="pct"/>
            <w:vMerge w:val="continue"/>
            <w:tcBorders>
              <w:tl2br w:val="nil"/>
              <w:tr2bl w:val="nil"/>
            </w:tcBorders>
            <w:shd w:val="clear" w:color="auto" w:fill="auto"/>
            <w:vAlign w:val="center"/>
          </w:tcPr>
          <w:p>
            <w:pPr>
              <w:jc w:val="center"/>
              <w:rPr>
                <w:rFonts w:hint="default" w:ascii="Times New Roman" w:hAnsi="Times New Roman" w:eastAsia="仿宋_GB2312" w:cs="Times New Roman"/>
                <w:sz w:val="20"/>
                <w:szCs w:val="20"/>
              </w:rPr>
            </w:pPr>
          </w:p>
        </w:tc>
        <w:tc>
          <w:tcPr>
            <w:tcW w:w="434" w:type="pct"/>
            <w:vMerge w:val="continue"/>
            <w:tcBorders>
              <w:tl2br w:val="nil"/>
              <w:tr2bl w:val="nil"/>
            </w:tcBorders>
            <w:shd w:val="clear" w:color="auto" w:fill="auto"/>
            <w:vAlign w:val="center"/>
          </w:tcPr>
          <w:p>
            <w:pPr>
              <w:jc w:val="center"/>
              <w:rPr>
                <w:rFonts w:hint="default" w:ascii="Times New Roman" w:hAnsi="Times New Roman" w:eastAsia="仿宋_GB2312" w:cs="Times New Roman"/>
                <w:sz w:val="20"/>
                <w:szCs w:val="20"/>
              </w:rPr>
            </w:pPr>
          </w:p>
        </w:tc>
        <w:tc>
          <w:tcPr>
            <w:tcW w:w="867" w:type="pct"/>
            <w:tcBorders>
              <w:tl2br w:val="nil"/>
              <w:tr2bl w:val="nil"/>
            </w:tcBorders>
            <w:shd w:val="clear" w:color="auto" w:fill="auto"/>
            <w:vAlign w:val="center"/>
          </w:tcPr>
          <w:p>
            <w:pPr>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i w:val="0"/>
                <w:iCs w:val="0"/>
                <w:color w:val="000000"/>
                <w:kern w:val="2"/>
                <w:sz w:val="20"/>
                <w:szCs w:val="20"/>
                <w:highlight w:val="none"/>
                <w:u w:val="none"/>
                <w:lang w:val="en-US" w:eastAsia="zh-CN" w:bidi="ar"/>
              </w:rPr>
              <w:t>市州参展7企业数量</w:t>
            </w:r>
          </w:p>
        </w:tc>
        <w:tc>
          <w:tcPr>
            <w:tcW w:w="598" w:type="pct"/>
            <w:tcBorders>
              <w:tl2br w:val="nil"/>
              <w:tr2bl w:val="nil"/>
            </w:tcBorders>
            <w:shd w:val="clear" w:color="auto" w:fill="auto"/>
            <w:vAlign w:val="center"/>
          </w:tcPr>
          <w:p>
            <w:pPr>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741" w:type="pct"/>
            <w:tcBorders>
              <w:tl2br w:val="nil"/>
              <w:tr2bl w:val="nil"/>
            </w:tcBorders>
            <w:shd w:val="clear" w:color="auto" w:fill="auto"/>
            <w:vAlign w:val="center"/>
          </w:tcPr>
          <w:p>
            <w:pPr>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i w:val="0"/>
                <w:iCs w:val="0"/>
                <w:color w:val="000000"/>
                <w:kern w:val="2"/>
                <w:sz w:val="20"/>
                <w:szCs w:val="20"/>
                <w:highlight w:val="none"/>
                <w:u w:val="none"/>
                <w:lang w:val="en-US" w:eastAsia="zh-CN" w:bidi="ar"/>
              </w:rPr>
              <w:t>17个</w:t>
            </w:r>
          </w:p>
        </w:tc>
        <w:tc>
          <w:tcPr>
            <w:tcW w:w="330" w:type="pct"/>
            <w:tcBorders>
              <w:tl2br w:val="nil"/>
              <w:tr2bl w:val="nil"/>
            </w:tcBorders>
            <w:shd w:val="clear" w:color="auto" w:fill="auto"/>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spacing w:line="360" w:lineRule="exact"/>
              <w:jc w:val="center"/>
              <w:rPr>
                <w:rFonts w:hint="default" w:ascii="Times New Roman" w:hAnsi="Times New Roman" w:eastAsia="仿宋_GB2312"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搭建湖南展馆</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展馆面积500平方米</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500平方米</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意向成交金额</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≥1300万元</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2309.9万元</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搭建湖南特色馆</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200平方米</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255平方米</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举办活动场次</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≥50场</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55场</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家政服务供需对接会</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≥7家</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7家</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宣传报道</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≥3次</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8次</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境外经贸活动场次</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3场</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3场</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后勤保障服务天数</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7天</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7天</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质量指标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湖南展馆展示企业产品</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≥15家企业</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23家</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市州组展率</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≥5个</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9个</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组织展商采购商现场供需对接</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≥10次</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≥10次</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湖南展馆展示</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≥40家企业</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40余家</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差错率</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≤0.2‰</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≤0.2‰</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组织省内龙头企业、业内知名品牌企业参加</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≥100家</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200家</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湖南家政行业团体标准立项</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≥3项</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3项</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活动验收合格率</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i w:val="0"/>
                <w:iCs w:val="0"/>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物料设计制作交付</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合格率</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100%</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时效指标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组团参展参会时间</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12月19-22日</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12月19-22日</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展馆搭建时间</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4月1日-10日</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4月1日-10日</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成本指标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aps w:val="0"/>
                <w:color w:val="000000"/>
                <w:spacing w:val="0"/>
                <w:kern w:val="2"/>
                <w:sz w:val="20"/>
                <w:szCs w:val="20"/>
                <w:highlight w:val="none"/>
                <w:u w:val="none"/>
                <w:shd w:val="clear" w:fill="auto"/>
                <w:lang w:val="en-US" w:eastAsia="zh-CN" w:bidi="ar"/>
              </w:rPr>
              <w:t>绿博会</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差旅费、办公费</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≤2万元</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≤2万元</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rPr>
                <w:rFonts w:hint="default" w:ascii="Times New Roman" w:hAnsi="Times New Roman" w:eastAsia="仿宋_GB2312" w:cs="Times New Roman"/>
                <w:color w:val="000000"/>
                <w:sz w:val="20"/>
                <w:szCs w:val="20"/>
                <w:highlight w:val="none"/>
                <w:u w:val="none"/>
                <w:lang w:bidi="ar"/>
              </w:rPr>
            </w:pPr>
            <w:r>
              <w:rPr>
                <w:rFonts w:hint="default" w:ascii="Times New Roman" w:hAnsi="Times New Roman" w:eastAsia="仿宋_GB2312" w:cs="Times New Roman"/>
                <w:i w:val="0"/>
                <w:iCs w:val="0"/>
                <w:caps w:val="0"/>
                <w:color w:val="000000"/>
                <w:spacing w:val="0"/>
                <w:kern w:val="2"/>
                <w:sz w:val="20"/>
                <w:szCs w:val="20"/>
                <w:highlight w:val="none"/>
                <w:u w:val="none"/>
                <w:shd w:val="clear" w:fill="auto"/>
                <w:lang w:val="en-US" w:eastAsia="zh-CN" w:bidi="ar"/>
              </w:rPr>
              <w:t>绿博会</w:t>
            </w:r>
          </w:p>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场地租金、委托业务费</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≤70.92万元</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≤70.92万元</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消博会差旅费、办公费</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≤9.04万元</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≤9.04万元</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消博会场地租金、委托业务费</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≤204.94万元</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≤204.94万元</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效益指标（30分）</w:t>
            </w: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经济效益指标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吸引中外企业投资湖南</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较好</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较好</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8</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8</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拉动湖南内外贸增长</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较好</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较好</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7</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7</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restar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可持续影响指标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展示湖南产业优势，促进商贸流通和产销对接</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明显</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明显</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8</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8</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434" w:type="pct"/>
            <w:vMerge w:val="continue"/>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民生发展提升群众生活水平</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明显</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明显</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7</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7</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8" w:type="pct"/>
            <w:vMerge w:val="continue"/>
            <w:tcBorders>
              <w:tl2br w:val="nil"/>
              <w:tr2bl w:val="nil"/>
            </w:tcBorders>
            <w:shd w:val="clear" w:color="auto" w:fill="auto"/>
            <w:textDirection w:val="tbRlV"/>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c>
          <w:tcPr>
            <w:tcW w:w="473"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满意度指标（10分）</w:t>
            </w:r>
          </w:p>
        </w:tc>
        <w:tc>
          <w:tcPr>
            <w:tcW w:w="434"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服务对象满意度</w:t>
            </w:r>
          </w:p>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指标</w:t>
            </w:r>
          </w:p>
        </w:tc>
        <w:tc>
          <w:tcPr>
            <w:tcW w:w="867"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参展企业满意度</w:t>
            </w:r>
          </w:p>
        </w:tc>
        <w:tc>
          <w:tcPr>
            <w:tcW w:w="598"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741" w:type="pct"/>
            <w:tcBorders>
              <w:tl2br w:val="nil"/>
              <w:tr2bl w:val="nil"/>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
              </w:rPr>
              <w:t>≥95%</w:t>
            </w:r>
          </w:p>
        </w:tc>
        <w:tc>
          <w:tcPr>
            <w:tcW w:w="33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10</w:t>
            </w:r>
          </w:p>
        </w:tc>
        <w:tc>
          <w:tcPr>
            <w:tcW w:w="500" w:type="pct"/>
            <w:tcBorders>
              <w:tl2br w:val="nil"/>
              <w:tr2bl w:val="nil"/>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2"/>
                <w:sz w:val="20"/>
                <w:szCs w:val="20"/>
                <w:highlight w:val="none"/>
                <w:u w:val="none"/>
                <w:lang w:val="en-US" w:eastAsia="zh-CN" w:bidi="ar"/>
              </w:rPr>
            </w:pPr>
            <w:r>
              <w:rPr>
                <w:rFonts w:hint="default" w:ascii="Times New Roman" w:hAnsi="Times New Roman" w:eastAsia="仿宋_GB2312" w:cs="Times New Roman"/>
                <w:color w:val="000000"/>
                <w:kern w:val="2"/>
                <w:sz w:val="20"/>
                <w:szCs w:val="20"/>
                <w:highlight w:val="none"/>
                <w:u w:val="none"/>
                <w:lang w:val="en-US" w:eastAsia="zh-CN" w:bidi="ar"/>
              </w:rPr>
              <w:t>10</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723" w:type="pct"/>
            <w:gridSpan w:val="6"/>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总分</w:t>
            </w:r>
          </w:p>
        </w:tc>
        <w:tc>
          <w:tcPr>
            <w:tcW w:w="33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100</w:t>
            </w:r>
          </w:p>
        </w:tc>
        <w:tc>
          <w:tcPr>
            <w:tcW w:w="500" w:type="pct"/>
            <w:tcBorders>
              <w:tl2br w:val="nil"/>
              <w:tr2bl w:val="nil"/>
            </w:tcBorders>
            <w:shd w:val="clear" w:color="auto" w:fill="auto"/>
            <w:vAlign w:val="center"/>
          </w:tcPr>
          <w:p>
            <w:pPr>
              <w:widowControl/>
              <w:spacing w:line="0" w:lineRule="atLeast"/>
              <w:jc w:val="center"/>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99.2</w:t>
            </w:r>
          </w:p>
        </w:tc>
        <w:tc>
          <w:tcPr>
            <w:tcW w:w="446" w:type="pct"/>
            <w:tcBorders>
              <w:tl2br w:val="nil"/>
              <w:tr2bl w:val="nil"/>
            </w:tcBorders>
            <w:shd w:val="clear" w:color="auto" w:fill="auto"/>
            <w:vAlign w:val="center"/>
          </w:tcPr>
          <w:p>
            <w:pPr>
              <w:widowControl/>
              <w:spacing w:line="0" w:lineRule="atLeast"/>
              <w:jc w:val="center"/>
              <w:rPr>
                <w:rFonts w:hint="default" w:ascii="Times New Roman" w:hAnsi="Times New Roman" w:eastAsia="仿宋_GB2312" w:cs="Times New Roman"/>
                <w:color w:val="auto"/>
                <w:kern w:val="0"/>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p>
    <w:sectPr>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FZFangSong-Z02S">
    <w:panose1 w:val="03000509000000000000"/>
    <w:charset w:val="86"/>
    <w:family w:val="auto"/>
    <w:pitch w:val="default"/>
    <w:sig w:usb0="00000001" w:usb1="080E0000" w:usb2="00000000" w:usb3="00000000" w:csb0="00040000" w:csb1="00000000"/>
  </w:font>
  <w:font w:name="PMingLiU">
    <w:altName w:val="Droid Sans Fallback"/>
    <w:panose1 w:val="02020500000000000000"/>
    <w:charset w:val="00"/>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4000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Regular" w:hAnsi="Times New Roman Regular" w:cs="Times New Roman Regula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pt;height:31.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AVA0h1QAAAAUBAAAPAAAAAAAAAAEAIAAAADgAAABkcnMvZG93bnJldi54bWxQSwEC&#10;FAAUAAAACACHTuJAXJ3bsxoCAAAoBAAADgAAAAAAAAABACAAAAA6AQAAZHJzL2Uyb0RvYy54bWxQ&#10;SwUGAAAAAAYABgBZAQAAxgUAAAAA&#10;">
              <v:fill on="f" focussize="0,0"/>
              <v:stroke on="f" weight="0.5pt"/>
              <v:imagedata o:title=""/>
              <o:lock v:ext="edit" aspectratio="f"/>
              <v:textbox inset="0mm,0mm,0mm,0mm">
                <w:txbxContent>
                  <w:p>
                    <w:pPr>
                      <w:pStyle w:val="6"/>
                      <w:rPr>
                        <w:rFonts w:hint="default" w:ascii="Times New Roman Regular" w:hAnsi="Times New Roman Regular" w:cs="Times New Roman Regula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BDABA"/>
    <w:rsid w:val="07DEE623"/>
    <w:rsid w:val="0DFF44AE"/>
    <w:rsid w:val="119DDD01"/>
    <w:rsid w:val="1B7F60BD"/>
    <w:rsid w:val="1FBF8FBA"/>
    <w:rsid w:val="1FFDEE1B"/>
    <w:rsid w:val="39F98D44"/>
    <w:rsid w:val="3BCB171B"/>
    <w:rsid w:val="3BFF9062"/>
    <w:rsid w:val="3EDB2C43"/>
    <w:rsid w:val="3FD68E92"/>
    <w:rsid w:val="3FFF9487"/>
    <w:rsid w:val="4BF846DF"/>
    <w:rsid w:val="4C7F7C73"/>
    <w:rsid w:val="4EBF6A49"/>
    <w:rsid w:val="4F37E332"/>
    <w:rsid w:val="4F9D3198"/>
    <w:rsid w:val="55FBDABA"/>
    <w:rsid w:val="59BFE22E"/>
    <w:rsid w:val="59FB8942"/>
    <w:rsid w:val="5B7F0698"/>
    <w:rsid w:val="5EF9B02B"/>
    <w:rsid w:val="5EFA69FC"/>
    <w:rsid w:val="5F77D0E8"/>
    <w:rsid w:val="657BB1D7"/>
    <w:rsid w:val="67EC1DAF"/>
    <w:rsid w:val="68774E0D"/>
    <w:rsid w:val="69F1B72E"/>
    <w:rsid w:val="6CFE1D92"/>
    <w:rsid w:val="6EB6B457"/>
    <w:rsid w:val="6EF51069"/>
    <w:rsid w:val="6FF6AAA1"/>
    <w:rsid w:val="6FFF3E70"/>
    <w:rsid w:val="70FBD778"/>
    <w:rsid w:val="7335902B"/>
    <w:rsid w:val="75BECD5C"/>
    <w:rsid w:val="75DF70A3"/>
    <w:rsid w:val="75FFD63C"/>
    <w:rsid w:val="77FA5F90"/>
    <w:rsid w:val="79AFA7F7"/>
    <w:rsid w:val="7BB7939A"/>
    <w:rsid w:val="7BEF69E5"/>
    <w:rsid w:val="7BFF8A65"/>
    <w:rsid w:val="7CDF9E99"/>
    <w:rsid w:val="7CE7A799"/>
    <w:rsid w:val="7DBCC959"/>
    <w:rsid w:val="7DFED97A"/>
    <w:rsid w:val="7EAF9062"/>
    <w:rsid w:val="7EBFE5BF"/>
    <w:rsid w:val="7EF5CF24"/>
    <w:rsid w:val="7F9DC927"/>
    <w:rsid w:val="7FBDF3C5"/>
    <w:rsid w:val="7FBE2DC2"/>
    <w:rsid w:val="7FFDA214"/>
    <w:rsid w:val="87FE5D0F"/>
    <w:rsid w:val="AFEE72A1"/>
    <w:rsid w:val="B5ED286B"/>
    <w:rsid w:val="BB3EEF1C"/>
    <w:rsid w:val="BBBB650E"/>
    <w:rsid w:val="BEEFC49B"/>
    <w:rsid w:val="BFE5286B"/>
    <w:rsid w:val="BFF5501D"/>
    <w:rsid w:val="BFFF26F9"/>
    <w:rsid w:val="C7D6099E"/>
    <w:rsid w:val="C8DBF860"/>
    <w:rsid w:val="CF7FF324"/>
    <w:rsid w:val="D97DEEB9"/>
    <w:rsid w:val="DF078499"/>
    <w:rsid w:val="E3CF8D37"/>
    <w:rsid w:val="E6FECA8F"/>
    <w:rsid w:val="E7737824"/>
    <w:rsid w:val="ECDFD3D6"/>
    <w:rsid w:val="ED3B7A86"/>
    <w:rsid w:val="EDDDA290"/>
    <w:rsid w:val="EEBBE5D7"/>
    <w:rsid w:val="EFBF7418"/>
    <w:rsid w:val="EFF7D28C"/>
    <w:rsid w:val="F3BE11D4"/>
    <w:rsid w:val="F65FC863"/>
    <w:rsid w:val="F7FFB5D6"/>
    <w:rsid w:val="FA7F8757"/>
    <w:rsid w:val="FB4D6C0E"/>
    <w:rsid w:val="FBF92F1C"/>
    <w:rsid w:val="FBFE9DBC"/>
    <w:rsid w:val="FDC243EE"/>
    <w:rsid w:val="FDEDD716"/>
    <w:rsid w:val="FE3F80E6"/>
    <w:rsid w:val="FEFF70B9"/>
    <w:rsid w:val="FF5F9B83"/>
    <w:rsid w:val="FF9B56E3"/>
    <w:rsid w:val="FFDE4DD0"/>
    <w:rsid w:val="FFF707F2"/>
    <w:rsid w:val="FFF8123D"/>
    <w:rsid w:val="FFFF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FangSong_GB2312" w:eastAsia="FangSong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FZFangSong-Z02S"/>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rFonts w:eastAsia="PMingLiU" w:cs="Calibri"/>
      <w:sz w:val="28"/>
      <w:szCs w:val="28"/>
      <w:lang w:eastAsia="zh-TW"/>
    </w:rPr>
  </w:style>
  <w:style w:type="paragraph" w:styleId="4">
    <w:name w:val="Body Text"/>
    <w:basedOn w:val="1"/>
    <w:qFormat/>
    <w:uiPriority w:val="0"/>
    <w:rPr>
      <w:sz w:val="32"/>
      <w:szCs w:val="32"/>
    </w:rPr>
  </w:style>
  <w:style w:type="paragraph" w:styleId="5">
    <w:name w:val="Body Text Indent"/>
    <w:basedOn w:val="1"/>
    <w:qFormat/>
    <w:uiPriority w:val="99"/>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99"/>
    <w:pPr>
      <w:ind w:firstLine="200" w:firstLineChars="200"/>
    </w:pPr>
  </w:style>
  <w:style w:type="paragraph" w:customStyle="1" w:styleId="11">
    <w:name w:val="Body Text First Indent 21"/>
    <w:basedOn w:val="12"/>
    <w:qFormat/>
    <w:uiPriority w:val="0"/>
    <w:pPr>
      <w:ind w:firstLine="420" w:firstLineChars="200"/>
    </w:pPr>
  </w:style>
  <w:style w:type="paragraph" w:customStyle="1" w:styleId="12">
    <w:name w:val="Body Text Indent1"/>
    <w:basedOn w:val="1"/>
    <w:qFormat/>
    <w:uiPriority w:val="0"/>
    <w:pPr>
      <w:spacing w:after="120"/>
      <w:ind w:left="420" w:leftChars="200"/>
    </w:pPr>
  </w:style>
  <w:style w:type="character" w:customStyle="1" w:styleId="13">
    <w:name w:val="font11"/>
    <w:basedOn w:val="10"/>
    <w:qFormat/>
    <w:uiPriority w:val="0"/>
    <w:rPr>
      <w:rFonts w:hint="default" w:ascii="仿宋" w:hAnsi="仿宋" w:eastAsia="仿宋" w:cs="仿宋"/>
      <w:color w:val="000000"/>
      <w:sz w:val="22"/>
      <w:szCs w:val="22"/>
      <w:u w:val="none"/>
    </w:rPr>
  </w:style>
  <w:style w:type="character" w:customStyle="1" w:styleId="14">
    <w:name w:val="font01"/>
    <w:basedOn w:val="10"/>
    <w:qFormat/>
    <w:uiPriority w:val="0"/>
    <w:rPr>
      <w:rFonts w:hint="eastAsia" w:ascii="宋体" w:hAnsi="宋体" w:eastAsia="宋体" w:cs="宋体"/>
      <w:color w:val="000000"/>
      <w:sz w:val="22"/>
      <w:szCs w:val="22"/>
      <w:u w:val="none"/>
    </w:rPr>
  </w:style>
  <w:style w:type="character" w:customStyle="1" w:styleId="15">
    <w:name w:val="font71"/>
    <w:basedOn w:val="10"/>
    <w:qFormat/>
    <w:uiPriority w:val="0"/>
    <w:rPr>
      <w:rFonts w:hint="eastAsia" w:ascii="宋体" w:hAnsi="宋体" w:eastAsia="宋体" w:cs="宋体"/>
      <w:color w:val="000000"/>
      <w:sz w:val="21"/>
      <w:szCs w:val="21"/>
      <w:u w:val="none"/>
    </w:rPr>
  </w:style>
  <w:style w:type="character" w:customStyle="1" w:styleId="16">
    <w:name w:val="font101"/>
    <w:basedOn w:val="10"/>
    <w:qFormat/>
    <w:uiPriority w:val="0"/>
    <w:rPr>
      <w:rFonts w:ascii="仿宋_GB2312" w:eastAsia="仿宋_GB2312" w:cs="仿宋_GB2312"/>
      <w:color w:val="000000"/>
      <w:sz w:val="21"/>
      <w:szCs w:val="21"/>
      <w:u w:val="none"/>
    </w:rPr>
  </w:style>
  <w:style w:type="character" w:customStyle="1" w:styleId="17">
    <w:name w:val="font112"/>
    <w:basedOn w:val="10"/>
    <w:qFormat/>
    <w:uiPriority w:val="0"/>
    <w:rPr>
      <w:rFonts w:hint="eastAsia" w:ascii="仿宋" w:hAnsi="仿宋" w:eastAsia="仿宋" w:cs="仿宋"/>
      <w:color w:val="000000"/>
      <w:sz w:val="20"/>
      <w:szCs w:val="20"/>
      <w:u w:val="none"/>
    </w:rPr>
  </w:style>
  <w:style w:type="character" w:customStyle="1" w:styleId="18">
    <w:name w:val="font21"/>
    <w:basedOn w:val="10"/>
    <w:qFormat/>
    <w:uiPriority w:val="0"/>
    <w:rPr>
      <w:rFonts w:ascii="仿宋_GB2312" w:eastAsia="仿宋_GB2312" w:cs="仿宋_GB2312"/>
      <w:color w:val="000000"/>
      <w:sz w:val="22"/>
      <w:szCs w:val="22"/>
      <w:u w:val="none"/>
    </w:rPr>
  </w:style>
  <w:style w:type="character" w:customStyle="1" w:styleId="19">
    <w:name w:val="font31"/>
    <w:basedOn w:val="10"/>
    <w:qFormat/>
    <w:uiPriority w:val="0"/>
    <w:rPr>
      <w:rFonts w:ascii="仿宋_GB2312" w:eastAsia="仿宋_GB2312" w:cs="仿宋_GB2312"/>
      <w:color w:val="000000"/>
      <w:sz w:val="20"/>
      <w:szCs w:val="20"/>
      <w:u w:val="none"/>
    </w:rPr>
  </w:style>
  <w:style w:type="character" w:customStyle="1" w:styleId="20">
    <w:name w:val="font51"/>
    <w:basedOn w:val="10"/>
    <w:qFormat/>
    <w:uiPriority w:val="0"/>
    <w:rPr>
      <w:rFonts w:ascii="仿宋_GB2312" w:eastAsia="仿宋_GB2312" w:cs="仿宋_GB2312"/>
      <w:color w:val="000000"/>
      <w:sz w:val="20"/>
      <w:szCs w:val="20"/>
      <w:u w:val="none"/>
    </w:rPr>
  </w:style>
  <w:style w:type="character" w:customStyle="1" w:styleId="21">
    <w:name w:val="font41"/>
    <w:basedOn w:val="10"/>
    <w:qFormat/>
    <w:uiPriority w:val="0"/>
    <w:rPr>
      <w:rFonts w:hint="eastAsia" w:ascii="仿宋_GB2312" w:eastAsia="仿宋_GB2312" w:cs="仿宋_GB2312"/>
      <w:color w:val="000000"/>
      <w:sz w:val="21"/>
      <w:szCs w:val="21"/>
      <w:u w:val="none"/>
    </w:rPr>
  </w:style>
  <w:style w:type="character" w:customStyle="1" w:styleId="22">
    <w:name w:val="font61"/>
    <w:basedOn w:val="10"/>
    <w:qFormat/>
    <w:uiPriority w:val="0"/>
    <w:rPr>
      <w:rFonts w:hint="eastAsia" w:ascii="仿宋_GB2312" w:eastAsia="仿宋_GB2312" w:cs="仿宋_GB2312"/>
      <w:color w:val="000000"/>
      <w:sz w:val="21"/>
      <w:szCs w:val="21"/>
      <w:u w:val="none"/>
    </w:rPr>
  </w:style>
  <w:style w:type="character" w:customStyle="1" w:styleId="23">
    <w:name w:val="font81"/>
    <w:basedOn w:val="1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2024-06-02T06:05:00Z</dcterms:created>
  <dc:creator>1402836399</dc:creator>
  <cp:lastModifiedBy>Hope</cp:lastModifiedBy>
  <dcterms:modified xsi:type="dcterms:W3CDTF">2026-07-06T11:50:21Z</dcterms:modified>
  <dc:title>湖南省商务厅2025年度部门整体支出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91DCBE7AFC5D85EFE770476AD86C41FD</vt:lpwstr>
  </property>
</Properties>
</file>