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方正小标宋简体" w:hAnsi="Times New Roman" w:eastAsia="方正小标宋简体" w:cs="Times New Roman"/>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方正小标宋简体" w:hAnsi="Times New Roman" w:eastAsia="方正小标宋简体" w:cs="Times New Roman"/>
          <w:kern w:val="2"/>
          <w:sz w:val="44"/>
          <w:szCs w:val="44"/>
          <w:highlight w:val="none"/>
          <w:lang w:val="en-US" w:eastAsia="zh-CN" w:bidi="ar-SA"/>
        </w:rPr>
      </w:pPr>
      <w:r>
        <w:rPr>
          <w:rFonts w:hint="eastAsia" w:ascii="方正小标宋简体" w:hAnsi="Times New Roman" w:eastAsia="方正小标宋简体" w:cs="Times New Roman"/>
          <w:kern w:val="2"/>
          <w:sz w:val="44"/>
          <w:szCs w:val="44"/>
          <w:highlight w:val="none"/>
          <w:lang w:val="en-US" w:eastAsia="zh-CN" w:bidi="ar-SA"/>
        </w:rPr>
        <w:t>采购需求及评分标准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黑体" w:hAnsi="Times New Roman" w:eastAsia="黑体" w:cs="Times New Roman"/>
          <w:sz w:val="32"/>
          <w:szCs w:val="32"/>
          <w:highlight w:val="none"/>
          <w:lang w:val="en-US" w:eastAsia="zh-CN"/>
        </w:rPr>
      </w:pPr>
      <w:r>
        <w:rPr>
          <w:rFonts w:hint="eastAsia" w:ascii="黑体" w:hAnsi="Times New Roman" w:eastAsia="黑体" w:cs="Times New Roman"/>
          <w:sz w:val="32"/>
          <w:szCs w:val="32"/>
          <w:highlight w:val="none"/>
          <w:lang w:val="en-US" w:eastAsia="zh-CN"/>
        </w:rPr>
        <w:t>采购项目名称</w:t>
      </w:r>
    </w:p>
    <w:p>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湖南</w:t>
      </w:r>
      <w:r>
        <w:rPr>
          <w:rFonts w:hint="eastAsia" w:ascii="仿宋_GB2312" w:hAnsi="Nimbus Roman No9 L" w:eastAsia="仿宋_GB2312" w:cs="仿宋_GB2312"/>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color w:val="auto"/>
          <w:sz w:val="32"/>
          <w:szCs w:val="32"/>
          <w:highlight w:val="none"/>
          <w:lang w:val="en-US" w:eastAsia="zh-CN"/>
        </w:rPr>
        <w:t>长三角会展合作项目对接会会务服务项目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黑体" w:hAnsi="Times New Roman" w:eastAsia="黑体" w:cs="Times New Roman"/>
          <w:sz w:val="32"/>
          <w:szCs w:val="32"/>
          <w:highlight w:val="none"/>
          <w:lang w:val="en-US" w:eastAsia="zh-CN"/>
        </w:rPr>
      </w:pPr>
      <w:r>
        <w:rPr>
          <w:rFonts w:hint="eastAsia" w:ascii="黑体" w:hAnsi="Times New Roman" w:eastAsia="黑体" w:cs="Times New Roman"/>
          <w:sz w:val="32"/>
          <w:szCs w:val="32"/>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AU" w:eastAsia="zh-CN"/>
        </w:rPr>
        <w:t>第八届中国国际进口博览会</w:t>
      </w:r>
      <w:r>
        <w:rPr>
          <w:rFonts w:hint="eastAsia" w:ascii="Times New Roman" w:hAnsi="Times New Roman" w:eastAsia="仿宋_GB2312" w:cs="Times New Roman"/>
          <w:color w:val="auto"/>
          <w:sz w:val="32"/>
          <w:szCs w:val="32"/>
          <w:highlight w:val="none"/>
          <w:lang w:val="en-US" w:eastAsia="zh-CN"/>
        </w:rPr>
        <w:t>将于2025年11月5日-10日在上海</w:t>
      </w:r>
      <w:r>
        <w:rPr>
          <w:rFonts w:hint="eastAsia" w:ascii="Times New Roman" w:hAnsi="Times New Roman" w:eastAsia="仿宋_GB2312" w:cs="Times New Roman"/>
          <w:color w:val="auto"/>
          <w:sz w:val="32"/>
          <w:szCs w:val="32"/>
          <w:highlight w:val="none"/>
          <w:lang w:val="en-AU" w:eastAsia="zh-CN"/>
        </w:rPr>
        <w:t>举行，展期拟举办湖南</w:t>
      </w:r>
      <w:r>
        <w:rPr>
          <w:rFonts w:hint="eastAsia" w:ascii="仿宋_GB2312" w:hAnsi="Nimbus Roman No9 L" w:eastAsia="仿宋_GB2312" w:cs="仿宋_GB2312"/>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color w:val="auto"/>
          <w:sz w:val="32"/>
          <w:szCs w:val="32"/>
          <w:highlight w:val="none"/>
          <w:lang w:val="en-AU" w:eastAsia="zh-CN"/>
        </w:rPr>
        <w:t>长三角会展合作项目对接会，拟采购一家供应商提供</w:t>
      </w:r>
      <w:r>
        <w:rPr>
          <w:rFonts w:hint="eastAsia" w:ascii="Times New Roman" w:hAnsi="Times New Roman" w:eastAsia="仿宋_GB2312" w:cs="Times New Roman"/>
          <w:color w:val="auto"/>
          <w:sz w:val="32"/>
          <w:szCs w:val="32"/>
          <w:highlight w:val="none"/>
          <w:lang w:val="en-US" w:eastAsia="zh-CN"/>
        </w:rPr>
        <w:t>会务服务，包括但不限于设计、布置及会务执行等。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（一）会议服务时间：2025年11月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（二）参会人数：预计约100人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（三）预算金额：12.8万元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黑体" w:hAnsi="Times New Roman" w:eastAsia="黑体" w:cs="Times New Roman"/>
          <w:sz w:val="32"/>
          <w:szCs w:val="32"/>
          <w:highlight w:val="none"/>
          <w:lang w:val="en-US" w:eastAsia="zh-CN"/>
        </w:rPr>
        <w:t>三、服务内容及要求</w:t>
      </w:r>
    </w:p>
    <w:p>
      <w:pPr>
        <w:keepNext w:val="0"/>
        <w:keepLines w:val="0"/>
        <w:pageBreakBefore w:val="0"/>
        <w:widowControl w:val="0"/>
        <w:kinsoku/>
        <w:wordWrap/>
        <w:overflowPunct/>
        <w:topLinePunct w:val="0"/>
        <w:autoSpaceDN/>
        <w:bidi w:val="0"/>
        <w:adjustRightInd w:val="0"/>
        <w:snapToGrid w:val="0"/>
        <w:spacing w:line="560" w:lineRule="exact"/>
        <w:ind w:left="0" w:right="0" w:firstLine="640" w:firstLineChars="200"/>
        <w:jc w:val="both"/>
        <w:textAlignment w:val="auto"/>
        <w:rPr>
          <w:rFonts w:hint="default" w:ascii="Times New Roman" w:hAnsi="Times New Roman" w:eastAsia="楷体" w:cs="Times New Roman"/>
          <w:kern w:val="0"/>
          <w:sz w:val="32"/>
          <w:szCs w:val="32"/>
          <w:lang w:val="en-US" w:eastAsia="zh-CN" w:bidi="ar-SA"/>
        </w:rPr>
      </w:pPr>
      <w:r>
        <w:rPr>
          <w:rFonts w:hint="eastAsia" w:ascii="Times New Roman" w:hAnsi="Times New Roman" w:eastAsia="楷体" w:cs="Times New Roman"/>
          <w:kern w:val="0"/>
          <w:sz w:val="32"/>
          <w:szCs w:val="32"/>
          <w:lang w:val="en-US" w:eastAsia="zh-CN" w:bidi="ar-SA"/>
        </w:rPr>
        <w:t>（一）会场设计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贴合活动主题</w:t>
      </w:r>
      <w:r>
        <w:rPr>
          <w:rFonts w:hint="eastAsia" w:ascii="Times New Roman" w:hAnsi="Times New Roman" w:eastAsia="仿宋_GB2312" w:cs="Times New Roman"/>
          <w:color w:val="auto"/>
          <w:sz w:val="32"/>
          <w:szCs w:val="32"/>
          <w:highlight w:val="none"/>
          <w:lang w:val="en-US" w:eastAsia="zh-TW"/>
        </w:rPr>
        <w:t>，</w:t>
      </w:r>
      <w:r>
        <w:rPr>
          <w:rFonts w:hint="eastAsia" w:ascii="Times New Roman" w:hAnsi="Times New Roman" w:eastAsia="仿宋_GB2312" w:cs="Times New Roman"/>
          <w:color w:val="auto"/>
          <w:sz w:val="32"/>
          <w:szCs w:val="32"/>
          <w:highlight w:val="none"/>
          <w:lang w:val="en-US" w:eastAsia="zh-CN"/>
        </w:rPr>
        <w:t>进行特色主视觉设计及延展设计，要求</w:t>
      </w:r>
      <w:r>
        <w:rPr>
          <w:rFonts w:hint="eastAsia" w:ascii="Times New Roman" w:hAnsi="Times New Roman" w:eastAsia="仿宋_GB2312" w:cs="Times New Roman"/>
          <w:color w:val="auto"/>
          <w:sz w:val="32"/>
          <w:szCs w:val="32"/>
          <w:highlight w:val="none"/>
          <w:lang w:val="en-US" w:eastAsia="zh-TW"/>
        </w:rPr>
        <w:t>设计理念新颖，独具创意，主题突出，</w:t>
      </w:r>
      <w:r>
        <w:rPr>
          <w:rFonts w:hint="eastAsia" w:ascii="Times New Roman" w:hAnsi="Times New Roman" w:eastAsia="仿宋_GB2312" w:cs="Times New Roman"/>
          <w:color w:val="auto"/>
          <w:sz w:val="32"/>
          <w:szCs w:val="32"/>
          <w:highlight w:val="none"/>
          <w:lang w:val="en-US" w:eastAsia="zh-CN"/>
        </w:rPr>
        <w:t>会场</w:t>
      </w:r>
      <w:r>
        <w:rPr>
          <w:rFonts w:hint="eastAsia" w:ascii="Times New Roman" w:hAnsi="Times New Roman" w:eastAsia="仿宋_GB2312" w:cs="Times New Roman"/>
          <w:color w:val="auto"/>
          <w:sz w:val="32"/>
          <w:szCs w:val="32"/>
          <w:highlight w:val="none"/>
          <w:lang w:val="en-US" w:eastAsia="zh-TW"/>
        </w:rPr>
        <w:t>功能分区明确，规划科学合理，衔接自然恰当</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N/>
        <w:bidi w:val="0"/>
        <w:adjustRightInd w:val="0"/>
        <w:snapToGrid w:val="0"/>
        <w:spacing w:line="560" w:lineRule="exact"/>
        <w:ind w:left="0" w:right="0" w:firstLine="640" w:firstLineChars="200"/>
        <w:jc w:val="both"/>
        <w:textAlignment w:val="auto"/>
        <w:rPr>
          <w:rFonts w:hint="eastAsia" w:ascii="Times New Roman" w:hAnsi="Times New Roman" w:eastAsia="楷体" w:cs="Times New Roman"/>
          <w:kern w:val="0"/>
          <w:sz w:val="32"/>
          <w:szCs w:val="32"/>
          <w:lang w:val="en-US" w:eastAsia="zh-CN" w:bidi="ar-SA"/>
        </w:rPr>
      </w:pPr>
      <w:r>
        <w:rPr>
          <w:rFonts w:hint="eastAsia" w:ascii="Times New Roman" w:hAnsi="Times New Roman" w:eastAsia="楷体" w:cs="Times New Roman"/>
          <w:kern w:val="0"/>
          <w:sz w:val="32"/>
          <w:szCs w:val="32"/>
          <w:lang w:val="en-US" w:eastAsia="zh-CN" w:bidi="ar-SA"/>
        </w:rPr>
        <w:t>（二）会场布置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根据设计内容进项现场布置，包括但不限于硬件舞美运输搭建（舞台、屏幕、灯光、音响等）、坐席分区布置、氛围营造、会务资料印刷制作及物料准备等。</w:t>
      </w:r>
    </w:p>
    <w:p>
      <w:pPr>
        <w:keepNext w:val="0"/>
        <w:keepLines w:val="0"/>
        <w:pageBreakBefore w:val="0"/>
        <w:widowControl w:val="0"/>
        <w:kinsoku/>
        <w:wordWrap/>
        <w:overflowPunct/>
        <w:topLinePunct w:val="0"/>
        <w:autoSpaceDN/>
        <w:bidi w:val="0"/>
        <w:adjustRightInd w:val="0"/>
        <w:snapToGrid w:val="0"/>
        <w:spacing w:line="560" w:lineRule="exact"/>
        <w:ind w:left="0" w:right="0" w:firstLine="640" w:firstLineChars="200"/>
        <w:jc w:val="both"/>
        <w:textAlignment w:val="auto"/>
        <w:rPr>
          <w:rFonts w:hint="eastAsia" w:ascii="Times New Roman" w:hAnsi="Times New Roman" w:eastAsia="楷体" w:cs="Times New Roman"/>
          <w:kern w:val="0"/>
          <w:sz w:val="32"/>
          <w:szCs w:val="32"/>
          <w:lang w:val="en-US" w:eastAsia="zh-CN" w:bidi="ar-SA"/>
        </w:rPr>
      </w:pPr>
      <w:r>
        <w:rPr>
          <w:rFonts w:hint="eastAsia" w:ascii="Times New Roman" w:hAnsi="Times New Roman" w:eastAsia="楷体" w:cs="Times New Roman"/>
          <w:kern w:val="0"/>
          <w:sz w:val="32"/>
          <w:szCs w:val="32"/>
          <w:lang w:val="en-US" w:eastAsia="zh-CN" w:bidi="ar-SA"/>
        </w:rPr>
        <w:t>（三）会务服务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根据活动需求提供执行人员服务，包括但不限于专业人员（主持人、礼仪、摄影摄像、播控等）服务、会场全流程控制、</w:t>
      </w:r>
      <w:r>
        <w:rPr>
          <w:rFonts w:hint="eastAsia" w:ascii="Times New Roman" w:hAnsi="Times New Roman" w:eastAsia="仿宋_GB2312" w:cs="Times New Roman"/>
          <w:color w:val="auto"/>
          <w:sz w:val="32"/>
          <w:szCs w:val="32"/>
          <w:highlight w:val="none"/>
          <w:lang w:val="en-AU" w:eastAsia="zh-CN"/>
        </w:rPr>
        <w:t>会议资料准备、</w:t>
      </w:r>
      <w:r>
        <w:rPr>
          <w:rFonts w:hint="eastAsia" w:ascii="Times New Roman" w:hAnsi="Times New Roman" w:eastAsia="仿宋_GB2312" w:cs="Times New Roman"/>
          <w:color w:val="auto"/>
          <w:sz w:val="32"/>
          <w:szCs w:val="32"/>
          <w:highlight w:val="none"/>
          <w:lang w:val="en-US" w:eastAsia="zh-CN"/>
        </w:rPr>
        <w:t>参会人员接待管理、参会人员引导组织实施等。</w:t>
      </w:r>
    </w:p>
    <w:p>
      <w:pPr>
        <w:keepNext w:val="0"/>
        <w:keepLines w:val="0"/>
        <w:pageBreakBefore w:val="0"/>
        <w:widowControl w:val="0"/>
        <w:kinsoku/>
        <w:wordWrap/>
        <w:overflowPunct/>
        <w:topLinePunct w:val="0"/>
        <w:autoSpaceDN/>
        <w:bidi w:val="0"/>
        <w:adjustRightInd w:val="0"/>
        <w:snapToGrid w:val="0"/>
        <w:spacing w:line="560" w:lineRule="exact"/>
        <w:ind w:left="0" w:right="0" w:firstLine="640" w:firstLineChars="200"/>
        <w:jc w:val="both"/>
        <w:textAlignment w:val="auto"/>
        <w:rPr>
          <w:rFonts w:hint="eastAsia" w:ascii="Times New Roman" w:hAnsi="Times New Roman" w:eastAsia="楷体" w:cs="Times New Roman"/>
          <w:kern w:val="0"/>
          <w:sz w:val="32"/>
          <w:szCs w:val="32"/>
          <w:lang w:val="en-US" w:eastAsia="zh-CN" w:bidi="ar-SA"/>
        </w:rPr>
      </w:pPr>
      <w:r>
        <w:rPr>
          <w:rFonts w:hint="eastAsia" w:ascii="Times New Roman" w:hAnsi="Times New Roman" w:eastAsia="楷体" w:cs="Times New Roman"/>
          <w:kern w:val="0"/>
          <w:sz w:val="32"/>
          <w:szCs w:val="32"/>
          <w:lang w:val="en-US" w:eastAsia="zh-CN" w:bidi="ar-SA"/>
        </w:rPr>
        <w:t>（四）邀请客商</w:t>
      </w:r>
    </w:p>
    <w:p>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聚焦活动主题，精准邀请客商人数不低于40人。</w:t>
      </w:r>
    </w:p>
    <w:p>
      <w:pPr>
        <w:keepNext w:val="0"/>
        <w:keepLines w:val="0"/>
        <w:pageBreakBefore w:val="0"/>
        <w:widowControl w:val="0"/>
        <w:kinsoku/>
        <w:wordWrap/>
        <w:overflowPunct/>
        <w:topLinePunct w:val="0"/>
        <w:autoSpaceDN/>
        <w:bidi w:val="0"/>
        <w:adjustRightInd w:val="0"/>
        <w:snapToGrid w:val="0"/>
        <w:spacing w:line="560" w:lineRule="exact"/>
        <w:ind w:left="0" w:right="0" w:firstLine="640" w:firstLineChars="200"/>
        <w:jc w:val="both"/>
        <w:textAlignment w:val="auto"/>
        <w:rPr>
          <w:rFonts w:hint="eastAsia" w:ascii="Times New Roman" w:hAnsi="Times New Roman" w:eastAsia="楷体" w:cs="Times New Roman"/>
          <w:kern w:val="0"/>
          <w:sz w:val="32"/>
          <w:szCs w:val="32"/>
          <w:lang w:val="en-AU" w:eastAsia="zh-CN" w:bidi="ar-SA"/>
        </w:rPr>
      </w:pPr>
      <w:r>
        <w:rPr>
          <w:rFonts w:hint="eastAsia" w:ascii="Times New Roman" w:hAnsi="Times New Roman" w:eastAsia="楷体" w:cs="Times New Roman"/>
          <w:kern w:val="0"/>
          <w:sz w:val="32"/>
          <w:szCs w:val="32"/>
          <w:lang w:val="en-US" w:eastAsia="zh-CN" w:bidi="ar-SA"/>
        </w:rPr>
        <w:t>（五）</w:t>
      </w:r>
      <w:r>
        <w:rPr>
          <w:rFonts w:hint="eastAsia" w:ascii="Times New Roman" w:hAnsi="Times New Roman" w:eastAsia="楷体" w:cs="Times New Roman"/>
          <w:kern w:val="0"/>
          <w:sz w:val="32"/>
          <w:szCs w:val="32"/>
          <w:lang w:val="en-AU" w:eastAsia="zh-CN" w:bidi="ar-SA"/>
        </w:rPr>
        <w:t>会后服务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AU" w:eastAsia="zh-CN"/>
        </w:rPr>
        <w:t>会后材料清点和交接，会议结束后将相关资料与会人员名册整理归档</w:t>
      </w:r>
      <w:r>
        <w:rPr>
          <w:rFonts w:hint="eastAsia" w:ascii="Times New Roman" w:hAnsi="Times New Roman" w:eastAsia="仿宋_GB2312" w:cs="Times New Roman"/>
          <w:color w:val="auto"/>
          <w:sz w:val="32"/>
          <w:szCs w:val="32"/>
          <w:highlight w:val="none"/>
          <w:lang w:val="en-US" w:eastAsia="zh-CN"/>
        </w:rPr>
        <w:t>并</w:t>
      </w:r>
      <w:r>
        <w:rPr>
          <w:rFonts w:hint="eastAsia" w:ascii="Times New Roman" w:hAnsi="Times New Roman" w:eastAsia="仿宋_GB2312" w:cs="Times New Roman"/>
          <w:color w:val="auto"/>
          <w:sz w:val="32"/>
          <w:szCs w:val="32"/>
          <w:highlight w:val="none"/>
          <w:lang w:val="en-AU" w:eastAsia="zh-CN"/>
        </w:rPr>
        <w:t>做好所有关于活动的视频影像资料的整理归档工作。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Times New Roman" w:eastAsia="黑体" w:cs="Times New Roman"/>
          <w:sz w:val="32"/>
          <w:szCs w:val="32"/>
          <w:highlight w:val="none"/>
          <w:lang w:val="en-US" w:eastAsia="zh-CN"/>
        </w:rPr>
      </w:pPr>
      <w:r>
        <w:rPr>
          <w:rFonts w:hint="eastAsia" w:ascii="黑体" w:hAnsi="Times New Roman" w:eastAsia="黑体" w:cs="Times New Roman"/>
          <w:sz w:val="32"/>
          <w:szCs w:val="32"/>
          <w:highlight w:val="none"/>
          <w:lang w:val="en-US" w:eastAsia="zh-CN"/>
        </w:rPr>
        <w:t>四、其他要求与说明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1.结算方法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（1）支付单位：湖南省商务厅。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（2）付款方式：</w:t>
      </w:r>
      <w:bookmarkStart w:id="0" w:name="_GoBack"/>
      <w:bookmarkEnd w:id="0"/>
      <w:r>
        <w:rPr>
          <w:rFonts w:hint="eastAsia" w:ascii="Times New Roman" w:hAnsi="Times New Roman" w:eastAsia="仿宋_GB2312" w:cs="Times New Roman"/>
          <w:color w:val="auto"/>
          <w:sz w:val="32"/>
          <w:szCs w:val="32"/>
          <w:highlight w:val="none"/>
          <w:lang w:val="en-US" w:eastAsia="zh-CN"/>
        </w:rPr>
        <w:t>项目完成经采购人验收合格后（无投诉、无举报、无不良影响）凭发票一次性支付100%合同款项。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2.验收标准及方法：本项目采用简易程序进行验收。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3.成交人在项目实施过程中，必须有高度的安全意识及完善的安全防护设施。如若项目实施过程中发生安全、经济事故，造成社会不良影响或导致采购人损失等，均由成交人自行承担。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本项目采用费用包干方式，投标人应根据项目要求和现场情况，详细列明项目所需设施设备、材料、人工、交通工具、餐饮住宿、资料打印费用以及培训、管理、财务等所有费用，如一旦成交，在项目实施中出现任何遗漏，均由成交供应商免费提供，采购人不再支付任何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5.投标人在投标前，自行踏勘现场，有关费用自理，踏勘期间发生的意外自负。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6.由不可抗力原因导致的合同违约，双方免责。如因疫情原因导致的活动取消，支付单位不需向成交人方支付任何费用。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7.对于上述项目要求，投标人应在投标文件中进行回应，作出承诺及说明。否则视为无效投标。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五、评选办法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hAnsi="Times New Roman" w:eastAsia="仿宋_GB2312" w:cs="仿宋_GB2312"/>
          <w:i w:val="0"/>
          <w:iCs w:val="0"/>
          <w:caps w:val="0"/>
          <w:smallCaps w:val="0"/>
          <w:color w:val="333333"/>
          <w:spacing w:val="0"/>
          <w:kern w:val="0"/>
          <w:sz w:val="32"/>
          <w:szCs w:val="32"/>
          <w:highlight w:val="none"/>
          <w:lang w:val="en-US" w:eastAsia="zh-CN" w:bidi="ar-SA"/>
        </w:rPr>
      </w:pPr>
      <w:r>
        <w:rPr>
          <w:rFonts w:ascii="仿宋_GB2312" w:hAnsi="Times New Roman" w:eastAsia="仿宋_GB2312" w:cs="仿宋_GB2312"/>
          <w:i w:val="0"/>
          <w:iCs w:val="0"/>
          <w:caps w:val="0"/>
          <w:smallCaps w:val="0"/>
          <w:color w:val="333333"/>
          <w:spacing w:val="0"/>
          <w:kern w:val="0"/>
          <w:sz w:val="32"/>
          <w:szCs w:val="32"/>
          <w:highlight w:val="none"/>
          <w:lang w:val="en-US" w:eastAsia="zh-CN" w:bidi="ar-SA"/>
        </w:rPr>
        <w:t>通过</w:t>
      </w:r>
      <w:r>
        <w:rPr>
          <w:rFonts w:hint="eastAsia" w:ascii="仿宋_GB2312" w:hAnsi="Times New Roman" w:eastAsia="仿宋_GB2312" w:cs="仿宋_GB2312"/>
          <w:i w:val="0"/>
          <w:iCs w:val="0"/>
          <w:caps w:val="0"/>
          <w:smallCaps w:val="0"/>
          <w:color w:val="333333"/>
          <w:spacing w:val="0"/>
          <w:kern w:val="0"/>
          <w:sz w:val="32"/>
          <w:szCs w:val="32"/>
          <w:highlight w:val="none"/>
          <w:lang w:val="en-US" w:eastAsia="zh-CN" w:bidi="ar-SA"/>
        </w:rPr>
        <w:t>公告邀请</w:t>
      </w:r>
      <w:r>
        <w:rPr>
          <w:rFonts w:ascii="仿宋_GB2312" w:hAnsi="Times New Roman" w:eastAsia="仿宋_GB2312" w:cs="仿宋_GB2312"/>
          <w:i w:val="0"/>
          <w:iCs w:val="0"/>
          <w:caps w:val="0"/>
          <w:smallCaps w:val="0"/>
          <w:color w:val="333333"/>
          <w:spacing w:val="0"/>
          <w:kern w:val="0"/>
          <w:sz w:val="32"/>
          <w:szCs w:val="32"/>
          <w:highlight w:val="none"/>
          <w:lang w:val="en-US" w:eastAsia="zh-CN" w:bidi="ar-SA"/>
        </w:rPr>
        <w:t>不少于三家</w:t>
      </w:r>
      <w:r>
        <w:rPr>
          <w:rFonts w:hint="eastAsia" w:ascii="仿宋_GB2312" w:hAnsi="Times New Roman" w:eastAsia="仿宋_GB2312" w:cs="仿宋_GB2312"/>
          <w:i w:val="0"/>
          <w:iCs w:val="0"/>
          <w:caps w:val="0"/>
          <w:smallCaps w:val="0"/>
          <w:color w:val="333333"/>
          <w:spacing w:val="0"/>
          <w:kern w:val="0"/>
          <w:sz w:val="32"/>
          <w:szCs w:val="32"/>
          <w:highlight w:val="none"/>
          <w:lang w:val="en-US" w:eastAsia="zh-CN" w:bidi="ar-SA"/>
        </w:rPr>
        <w:t>符合要求的</w:t>
      </w:r>
      <w:r>
        <w:rPr>
          <w:rFonts w:ascii="仿宋_GB2312" w:hAnsi="Times New Roman" w:eastAsia="仿宋_GB2312" w:cs="仿宋_GB2312"/>
          <w:i w:val="0"/>
          <w:iCs w:val="0"/>
          <w:caps w:val="0"/>
          <w:smallCaps w:val="0"/>
          <w:color w:val="333333"/>
          <w:spacing w:val="0"/>
          <w:kern w:val="0"/>
          <w:sz w:val="32"/>
          <w:szCs w:val="32"/>
          <w:highlight w:val="none"/>
          <w:lang w:val="en-US" w:eastAsia="zh-CN" w:bidi="ar-SA"/>
        </w:rPr>
        <w:t>供应商，由评选小组组织评选，</w:t>
      </w:r>
      <w:r>
        <w:rPr>
          <w:rFonts w:hint="eastAsia" w:ascii="仿宋_GB2312" w:hAnsi="Times New Roman" w:eastAsia="仿宋_GB2312" w:cs="仿宋_GB2312"/>
          <w:i w:val="0"/>
          <w:iCs w:val="0"/>
          <w:caps w:val="0"/>
          <w:smallCaps w:val="0"/>
          <w:color w:val="333333"/>
          <w:spacing w:val="0"/>
          <w:kern w:val="0"/>
          <w:sz w:val="32"/>
          <w:szCs w:val="32"/>
          <w:highlight w:val="none"/>
          <w:lang w:val="en-US" w:eastAsia="zh-CN" w:bidi="ar-SA"/>
        </w:rPr>
        <w:t>根据评审因素综合得分</w:t>
      </w:r>
      <w:r>
        <w:rPr>
          <w:rFonts w:ascii="仿宋_GB2312" w:hAnsi="Times New Roman" w:eastAsia="仿宋_GB2312" w:cs="仿宋_GB2312"/>
          <w:i w:val="0"/>
          <w:iCs w:val="0"/>
          <w:caps w:val="0"/>
          <w:smallCaps w:val="0"/>
          <w:color w:val="333333"/>
          <w:spacing w:val="0"/>
          <w:kern w:val="0"/>
          <w:sz w:val="32"/>
          <w:szCs w:val="32"/>
          <w:highlight w:val="none"/>
          <w:lang w:val="en-US" w:eastAsia="zh-CN" w:bidi="ar-SA"/>
        </w:rPr>
        <w:t>高者</w:t>
      </w:r>
      <w:r>
        <w:rPr>
          <w:rFonts w:hint="eastAsia" w:ascii="仿宋_GB2312" w:hAnsi="Times New Roman" w:eastAsia="仿宋_GB2312" w:cs="仿宋_GB2312"/>
          <w:i w:val="0"/>
          <w:iCs w:val="0"/>
          <w:caps w:val="0"/>
          <w:smallCaps w:val="0"/>
          <w:color w:val="333333"/>
          <w:spacing w:val="0"/>
          <w:kern w:val="0"/>
          <w:sz w:val="32"/>
          <w:szCs w:val="32"/>
          <w:highlight w:val="none"/>
          <w:lang w:val="en-US" w:eastAsia="zh-CN" w:bidi="ar-SA"/>
        </w:rPr>
        <w:t>确定供应商</w:t>
      </w:r>
      <w:r>
        <w:rPr>
          <w:rFonts w:ascii="仿宋_GB2312" w:hAnsi="Times New Roman" w:eastAsia="仿宋_GB2312" w:cs="仿宋_GB2312"/>
          <w:i w:val="0"/>
          <w:iCs w:val="0"/>
          <w:caps w:val="0"/>
          <w:smallCaps w:val="0"/>
          <w:color w:val="333333"/>
          <w:spacing w:val="0"/>
          <w:kern w:val="0"/>
          <w:sz w:val="32"/>
          <w:szCs w:val="32"/>
          <w:highlight w:val="none"/>
          <w:lang w:val="en-US" w:eastAsia="zh-CN" w:bidi="ar-SA"/>
        </w:rPr>
        <w:t>中标。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Times New Roman" w:eastAsia="黑体" w:cs="黑体"/>
          <w:sz w:val="32"/>
          <w:szCs w:val="32"/>
          <w:highlight w:val="none"/>
          <w:lang w:eastAsia="zh-CN"/>
        </w:rPr>
      </w:pPr>
      <w:r>
        <w:rPr>
          <w:rFonts w:hint="eastAsia" w:ascii="黑体" w:hAnsi="Times New Roman" w:eastAsia="黑体" w:cs="黑体"/>
          <w:sz w:val="32"/>
          <w:szCs w:val="32"/>
          <w:highlight w:val="none"/>
          <w:lang w:eastAsia="zh-CN"/>
        </w:rPr>
        <w:t>六、其他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Times New Roman" w:eastAsia="仿宋_GB2312" w:cs="仿宋_GB2312"/>
          <w:i w:val="0"/>
          <w:iCs w:val="0"/>
          <w:caps w:val="0"/>
          <w:smallCaps w:val="0"/>
          <w:color w:val="333333"/>
          <w:spacing w:val="0"/>
          <w:kern w:val="0"/>
          <w:sz w:val="32"/>
          <w:szCs w:val="32"/>
          <w:highlight w:val="none"/>
          <w:lang w:val="en-US" w:eastAsia="zh-CN" w:bidi="ar-SA"/>
        </w:rPr>
        <w:t>评审因素（见附表）。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评审因素和标准</w:t>
      </w:r>
    </w:p>
    <w:tbl>
      <w:tblPr>
        <w:tblStyle w:val="4"/>
        <w:tblW w:w="100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165"/>
        <w:gridCol w:w="669"/>
        <w:gridCol w:w="74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705" w:type="dxa"/>
            <w:tcBorders>
              <w:top w:val="doub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Times New Roman" w:eastAsia="宋体" w:cs="宋体"/>
                <w:b/>
                <w:bCs/>
                <w:color w:val="auto"/>
                <w:sz w:val="21"/>
                <w:szCs w:val="21"/>
                <w:highlight w:val="none"/>
              </w:rPr>
            </w:pPr>
            <w:r>
              <w:rPr>
                <w:rFonts w:hint="eastAsia" w:ascii="宋体" w:hAnsi="Times New Roman" w:eastAsia="宋体" w:cs="宋体"/>
                <w:b/>
                <w:bCs/>
                <w:color w:val="auto"/>
                <w:sz w:val="21"/>
                <w:szCs w:val="21"/>
                <w:highlight w:val="none"/>
              </w:rPr>
              <w:t>类别</w:t>
            </w:r>
          </w:p>
        </w:tc>
        <w:tc>
          <w:tcPr>
            <w:tcW w:w="1165" w:type="dxa"/>
            <w:tcBorders>
              <w:top w:val="doub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Times New Roman" w:eastAsia="宋体" w:cs="宋体"/>
                <w:b/>
                <w:bCs/>
                <w:color w:val="auto"/>
                <w:sz w:val="21"/>
                <w:szCs w:val="21"/>
                <w:highlight w:val="none"/>
              </w:rPr>
            </w:pPr>
            <w:r>
              <w:rPr>
                <w:rFonts w:hint="eastAsia" w:ascii="宋体" w:hAnsi="Times New Roman" w:eastAsia="宋体" w:cs="宋体"/>
                <w:b/>
                <w:bCs/>
                <w:color w:val="auto"/>
                <w:sz w:val="21"/>
                <w:szCs w:val="21"/>
                <w:highlight w:val="none"/>
              </w:rPr>
              <w:t>评审因素</w:t>
            </w:r>
          </w:p>
        </w:tc>
        <w:tc>
          <w:tcPr>
            <w:tcW w:w="669" w:type="dxa"/>
            <w:tcBorders>
              <w:top w:val="doub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Times New Roman" w:eastAsia="宋体" w:cs="宋体"/>
                <w:b/>
                <w:bCs/>
                <w:color w:val="auto"/>
                <w:sz w:val="21"/>
                <w:szCs w:val="21"/>
                <w:highlight w:val="none"/>
                <w:lang w:eastAsia="zh-CN"/>
              </w:rPr>
            </w:pPr>
            <w:r>
              <w:rPr>
                <w:rFonts w:hint="eastAsia" w:ascii="宋体" w:hAnsi="Times New Roman" w:eastAsia="宋体" w:cs="宋体"/>
                <w:b/>
                <w:bCs/>
                <w:color w:val="auto"/>
                <w:sz w:val="21"/>
                <w:szCs w:val="21"/>
                <w:highlight w:val="none"/>
              </w:rPr>
              <w:t>权值</w:t>
            </w:r>
          </w:p>
        </w:tc>
        <w:tc>
          <w:tcPr>
            <w:tcW w:w="7462" w:type="dxa"/>
            <w:tcBorders>
              <w:top w:val="double" w:color="auto" w:sz="4" w:space="0"/>
              <w:left w:val="single" w:color="auto" w:sz="4" w:space="0"/>
              <w:bottom w:val="single" w:color="auto" w:sz="4" w:space="0"/>
              <w:tl2br w:val="nil"/>
              <w:tr2bl w:val="nil"/>
            </w:tcBorders>
            <w:noWrap/>
            <w:vAlign w:val="center"/>
          </w:tcPr>
          <w:p>
            <w:pPr>
              <w:keepNext w:val="0"/>
              <w:keepLines w:val="0"/>
              <w:pageBreakBefore w:val="0"/>
              <w:widowControl/>
              <w:tabs>
                <w:tab w:val="left" w:pos="3067"/>
              </w:tabs>
              <w:kinsoku/>
              <w:wordWrap/>
              <w:overflowPunct/>
              <w:topLinePunct w:val="0"/>
              <w:autoSpaceDE/>
              <w:autoSpaceDN/>
              <w:bidi w:val="0"/>
              <w:spacing w:line="560" w:lineRule="exact"/>
              <w:jc w:val="center"/>
              <w:textAlignment w:val="auto"/>
              <w:rPr>
                <w:rFonts w:hint="eastAsia" w:ascii="宋体" w:hAnsi="Times New Roman" w:eastAsia="宋体" w:cs="宋体"/>
                <w:b/>
                <w:bCs/>
                <w:color w:val="auto"/>
                <w:sz w:val="21"/>
                <w:szCs w:val="21"/>
                <w:highlight w:val="none"/>
              </w:rPr>
            </w:pPr>
            <w:r>
              <w:rPr>
                <w:rFonts w:hint="eastAsia" w:ascii="宋体" w:hAnsi="Times New Roman" w:eastAsia="宋体" w:cs="宋体"/>
                <w:b/>
                <w:bCs/>
                <w:color w:val="auto"/>
                <w:sz w:val="21"/>
                <w:szCs w:val="21"/>
                <w:highlight w:val="none"/>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61" w:hRule="atLeast"/>
          <w:jc w:val="center"/>
        </w:trPr>
        <w:tc>
          <w:tcPr>
            <w:tcW w:w="70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tabs>
                <w:tab w:val="left" w:pos="3067"/>
              </w:tabs>
              <w:kinsoku/>
              <w:wordWrap/>
              <w:overflowPunct/>
              <w:topLinePunct w:val="0"/>
              <w:bidi w:val="0"/>
              <w:spacing w:line="560" w:lineRule="exact"/>
              <w:jc w:val="center"/>
              <w:textAlignment w:val="auto"/>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报价</w:t>
            </w:r>
          </w:p>
        </w:tc>
        <w:tc>
          <w:tcPr>
            <w:tcW w:w="116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tabs>
                <w:tab w:val="left" w:pos="3067"/>
              </w:tabs>
              <w:kinsoku/>
              <w:wordWrap/>
              <w:overflowPunct/>
              <w:topLinePunct w:val="0"/>
              <w:bidi w:val="0"/>
              <w:spacing w:line="560" w:lineRule="exact"/>
              <w:jc w:val="center"/>
              <w:textAlignment w:val="auto"/>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投标报价</w:t>
            </w:r>
          </w:p>
        </w:tc>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tabs>
                <w:tab w:val="left" w:pos="3067"/>
              </w:tabs>
              <w:kinsoku/>
              <w:wordWrap/>
              <w:overflowPunct/>
              <w:topLinePunct w:val="0"/>
              <w:bidi w:val="0"/>
              <w:spacing w:line="560" w:lineRule="exact"/>
              <w:jc w:val="center"/>
              <w:textAlignment w:val="auto"/>
              <w:rPr>
                <w:rFonts w:hint="eastAsia" w:ascii="宋体" w:hAnsi="Times New Roman" w:eastAsia="宋体" w:cs="宋体"/>
                <w:color w:val="auto"/>
                <w:sz w:val="21"/>
                <w:szCs w:val="21"/>
                <w:highlight w:val="none"/>
                <w:lang w:eastAsia="zh-CN"/>
              </w:rPr>
            </w:pPr>
            <w:r>
              <w:rPr>
                <w:rFonts w:hint="eastAsia" w:ascii="宋体" w:hAnsi="Times New Roman" w:eastAsia="宋体" w:cs="宋体"/>
                <w:color w:val="auto"/>
                <w:sz w:val="21"/>
                <w:szCs w:val="21"/>
                <w:highlight w:val="none"/>
                <w:lang w:val="en-US" w:eastAsia="zh-CN"/>
              </w:rPr>
              <w:t>3</w:t>
            </w:r>
            <w:r>
              <w:rPr>
                <w:rFonts w:hint="eastAsia" w:ascii="宋体" w:hAnsi="Times New Roman" w:eastAsia="宋体" w:cs="宋体"/>
                <w:color w:val="auto"/>
                <w:sz w:val="21"/>
                <w:szCs w:val="21"/>
                <w:highlight w:val="none"/>
              </w:rPr>
              <w:t>0</w:t>
            </w:r>
            <w:r>
              <w:rPr>
                <w:rFonts w:hint="eastAsia" w:ascii="宋体" w:hAnsi="Times New Roman" w:eastAsia="宋体" w:cs="宋体"/>
                <w:color w:val="auto"/>
                <w:sz w:val="21"/>
                <w:szCs w:val="21"/>
                <w:highlight w:val="none"/>
                <w:lang w:eastAsia="zh-CN"/>
              </w:rPr>
              <w:t>分</w:t>
            </w:r>
          </w:p>
        </w:tc>
        <w:tc>
          <w:tcPr>
            <w:tcW w:w="7462" w:type="dxa"/>
            <w:tcBorders>
              <w:top w:val="single" w:color="auto" w:sz="4" w:space="0"/>
              <w:left w:val="single" w:color="auto" w:sz="4" w:space="0"/>
              <w:bottom w:val="single" w:color="auto" w:sz="4" w:space="0"/>
              <w:tl2br w:val="nil"/>
              <w:tr2bl w:val="nil"/>
            </w:tcBorders>
            <w:noWrap/>
            <w:vAlign w:val="center"/>
          </w:tcPr>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以经评委会认定满足采购文件要求且</w:t>
            </w:r>
            <w:r>
              <w:rPr>
                <w:rFonts w:hint="eastAsia" w:ascii="宋体" w:hAnsi="Times New Roman" w:eastAsia="宋体" w:cs="宋体"/>
                <w:color w:val="auto"/>
                <w:sz w:val="21"/>
                <w:szCs w:val="21"/>
                <w:highlight w:val="none"/>
                <w:lang w:val="en-US" w:eastAsia="zh-CN"/>
              </w:rPr>
              <w:t>各供应商价格按照</w:t>
            </w:r>
            <w:r>
              <w:rPr>
                <w:rFonts w:hint="eastAsia" w:ascii="宋体" w:hAnsi="Times New Roman" w:eastAsia="宋体" w:cs="宋体"/>
                <w:color w:val="auto"/>
                <w:sz w:val="21"/>
                <w:szCs w:val="21"/>
                <w:highlight w:val="none"/>
              </w:rPr>
              <w:t>扣除</w:t>
            </w:r>
            <w:r>
              <w:rPr>
                <w:rFonts w:hint="eastAsia" w:ascii="宋体" w:hAnsi="Times New Roman" w:eastAsia="宋体" w:cs="宋体"/>
                <w:color w:val="auto"/>
                <w:sz w:val="21"/>
                <w:szCs w:val="21"/>
                <w:highlight w:val="none"/>
                <w:lang w:val="en-US" w:eastAsia="zh-CN"/>
              </w:rPr>
              <w:t>标准进行扣除</w:t>
            </w:r>
            <w:r>
              <w:rPr>
                <w:rFonts w:hint="eastAsia" w:ascii="宋体" w:hAnsi="Times New Roman" w:eastAsia="宋体" w:cs="宋体"/>
                <w:color w:val="auto"/>
                <w:sz w:val="21"/>
                <w:szCs w:val="21"/>
                <w:highlight w:val="none"/>
              </w:rPr>
              <w:t>以后最低的评审报价为评标基准价，其价格得分计</w:t>
            </w:r>
            <w:r>
              <w:rPr>
                <w:rFonts w:hint="eastAsia" w:ascii="宋体" w:hAnsi="Times New Roman" w:eastAsia="宋体" w:cs="宋体"/>
                <w:color w:val="auto"/>
                <w:sz w:val="21"/>
                <w:szCs w:val="21"/>
                <w:highlight w:val="none"/>
                <w:lang w:val="en-US" w:eastAsia="zh-CN"/>
              </w:rPr>
              <w:t>3</w:t>
            </w:r>
            <w:r>
              <w:rPr>
                <w:rFonts w:hint="eastAsia" w:ascii="宋体" w:hAnsi="Times New Roman" w:eastAsia="宋体" w:cs="宋体"/>
                <w:color w:val="auto"/>
                <w:sz w:val="21"/>
                <w:szCs w:val="21"/>
                <w:highlight w:val="none"/>
              </w:rPr>
              <w:t>0分。其他投标人的价格得分统一按公式计算：报价得分＝评标基准价÷评标报价×投标报价权值（分数四舍五入保留到小数点后两位）</w:t>
            </w:r>
          </w:p>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 w:val="21"/>
                <w:szCs w:val="21"/>
                <w:highlight w:val="none"/>
                <w:lang w:val="en-US" w:eastAsia="zh-CN"/>
              </w:rPr>
            </w:pPr>
            <w:r>
              <w:rPr>
                <w:rFonts w:hint="eastAsia" w:ascii="宋体" w:hAnsi="Times New Roman" w:eastAsia="宋体" w:cs="宋体"/>
                <w:color w:val="auto"/>
                <w:sz w:val="21"/>
                <w:szCs w:val="21"/>
                <w:highlight w:val="none"/>
                <w:lang w:val="en-US" w:eastAsia="zh-CN"/>
              </w:rPr>
              <w:t>注:1.供应商符合《政府采购促进中小企业发展暂行办法》、《关于政府采购支持监狱企业发展有关问题的通知》、《关于促进残疾人就业政府采购政策的通知》规定的，用扣除后的价格参与评审。</w:t>
            </w:r>
          </w:p>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 w:val="21"/>
                <w:szCs w:val="21"/>
                <w:highlight w:val="none"/>
                <w:lang w:val="en-US" w:eastAsia="zh-CN"/>
              </w:rPr>
            </w:pPr>
            <w:r>
              <w:rPr>
                <w:rFonts w:hint="eastAsia" w:ascii="宋体" w:hAnsi="Times New Roman" w:eastAsia="宋体" w:cs="宋体"/>
                <w:color w:val="auto"/>
                <w:sz w:val="21"/>
                <w:szCs w:val="21"/>
                <w:highlight w:val="none"/>
                <w:lang w:val="en-US" w:eastAsia="zh-CN"/>
              </w:rPr>
              <w:t>2.价格评审过程中，不得去掉最后报价中的最高报价和最低报价。</w:t>
            </w:r>
          </w:p>
          <w:p>
            <w:pPr>
              <w:keepNext w:val="0"/>
              <w:keepLines w:val="0"/>
              <w:pageBreakBefore w:val="0"/>
              <w:kinsoku/>
              <w:wordWrap/>
              <w:overflowPunct/>
              <w:topLinePunct w:val="0"/>
              <w:bidi w:val="0"/>
              <w:spacing w:line="560" w:lineRule="exact"/>
              <w:jc w:val="left"/>
              <w:textAlignment w:val="auto"/>
              <w:rPr>
                <w:rFonts w:hint="eastAsia" w:ascii="Times New Roman" w:hAnsi="Times New Roman" w:eastAsia="宋体" w:cs="Times New Roman"/>
                <w:highlight w:val="none"/>
              </w:rPr>
            </w:pPr>
            <w:r>
              <w:rPr>
                <w:rFonts w:hint="eastAsia" w:ascii="宋体" w:hAnsi="Times New Roman" w:eastAsia="宋体" w:cs="宋体"/>
                <w:color w:val="auto"/>
                <w:sz w:val="21"/>
                <w:szCs w:val="21"/>
                <w:highlight w:val="none"/>
                <w:lang w:val="en-US" w:eastAsia="zh-CN"/>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0" w:hRule="atLeast"/>
          <w:jc w:val="center"/>
        </w:trPr>
        <w:tc>
          <w:tcPr>
            <w:tcW w:w="705" w:type="dxa"/>
            <w:vMerge w:val="restart"/>
            <w:tcBorders>
              <w:top w:val="single" w:color="auto" w:sz="4" w:space="0"/>
              <w:left w:val="single" w:color="auto" w:sz="4" w:space="0"/>
              <w:right w:val="single" w:color="auto" w:sz="4" w:space="0"/>
              <w:tl2br w:val="nil"/>
              <w:tr2bl w:val="nil"/>
            </w:tcBorders>
            <w:noWrap/>
            <w:vAlign w:val="center"/>
          </w:tcPr>
          <w:p>
            <w:pPr>
              <w:keepNext w:val="0"/>
              <w:keepLines w:val="0"/>
              <w:pageBreakBefore w:val="0"/>
              <w:widowControl/>
              <w:tabs>
                <w:tab w:val="left" w:pos="3067"/>
              </w:tabs>
              <w:kinsoku/>
              <w:wordWrap/>
              <w:overflowPunct/>
              <w:topLinePunct w:val="0"/>
              <w:bidi w:val="0"/>
              <w:spacing w:line="560" w:lineRule="exact"/>
              <w:jc w:val="center"/>
              <w:textAlignment w:val="auto"/>
              <w:rPr>
                <w:rFonts w:ascii="宋体" w:hAnsi="Times New Roman" w:eastAsia="宋体" w:cs="宋体"/>
                <w:color w:val="auto"/>
                <w:sz w:val="21"/>
                <w:szCs w:val="21"/>
                <w:highlight w:val="none"/>
                <w:lang w:val="en-US" w:eastAsia="zh-CN"/>
              </w:rPr>
            </w:pPr>
            <w:r>
              <w:rPr>
                <w:rFonts w:hint="eastAsia" w:ascii="宋体" w:hAnsi="Times New Roman" w:eastAsia="宋体" w:cs="宋体"/>
                <w:color w:val="auto"/>
                <w:sz w:val="21"/>
                <w:szCs w:val="21"/>
                <w:highlight w:val="none"/>
              </w:rPr>
              <w:t>技术</w:t>
            </w:r>
          </w:p>
        </w:tc>
        <w:tc>
          <w:tcPr>
            <w:tcW w:w="1165" w:type="dxa"/>
            <w:tcBorders>
              <w:top w:val="single" w:color="auto" w:sz="4" w:space="0"/>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仿宋_GB2312" w:hAnsi="Times New Roman" w:eastAsia="仿宋_GB2312" w:cs="仿宋_GB2312"/>
                <w:color w:val="auto"/>
                <w:sz w:val="24"/>
                <w:szCs w:val="24"/>
                <w:highlight w:val="none"/>
                <w:lang w:val="en-US" w:eastAsia="zh-CN"/>
              </w:rPr>
            </w:pPr>
            <w:r>
              <w:rPr>
                <w:rFonts w:hint="eastAsia" w:ascii="宋体" w:hAnsi="Times New Roman" w:eastAsia="宋体" w:cs="宋体"/>
                <w:szCs w:val="21"/>
                <w:highlight w:val="none"/>
              </w:rPr>
              <w:t>活动设计和实施方案</w:t>
            </w:r>
          </w:p>
        </w:tc>
        <w:tc>
          <w:tcPr>
            <w:tcW w:w="669" w:type="dxa"/>
            <w:tcBorders>
              <w:top w:val="single" w:color="auto" w:sz="4" w:space="0"/>
              <w:left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宋体" w:hAnsi="Times New Roman" w:eastAsia="宋体" w:cs="宋体"/>
                <w:color w:val="auto"/>
                <w:szCs w:val="21"/>
                <w:highlight w:val="none"/>
                <w:lang w:val="en-US" w:eastAsia="zh-CN"/>
              </w:rPr>
            </w:pPr>
            <w:r>
              <w:rPr>
                <w:rFonts w:hint="eastAsia" w:ascii="宋体" w:hAnsi="Times New Roman" w:eastAsia="宋体" w:cs="宋体"/>
                <w:color w:val="auto"/>
                <w:szCs w:val="21"/>
                <w:highlight w:val="none"/>
                <w:lang w:val="en-US" w:eastAsia="zh-CN"/>
              </w:rPr>
              <w:t>20分</w:t>
            </w:r>
          </w:p>
        </w:tc>
        <w:tc>
          <w:tcPr>
            <w:tcW w:w="7462" w:type="dxa"/>
            <w:tcBorders>
              <w:top w:val="single" w:color="auto" w:sz="4" w:space="0"/>
              <w:left w:val="single" w:color="auto" w:sz="4" w:space="0"/>
              <w:tl2br w:val="nil"/>
              <w:tr2bl w:val="nil"/>
            </w:tcBorders>
            <w:noWrap/>
            <w:vAlign w:val="center"/>
          </w:tcPr>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rPr>
              <w:t>根据</w:t>
            </w:r>
            <w:r>
              <w:rPr>
                <w:rFonts w:hint="eastAsia" w:ascii="宋体" w:hAnsi="Times New Roman" w:eastAsia="宋体" w:cs="宋体"/>
                <w:color w:val="auto"/>
                <w:szCs w:val="21"/>
                <w:highlight w:val="none"/>
                <w:lang w:val="en-US" w:eastAsia="zh-CN"/>
              </w:rPr>
              <w:t>供应商</w:t>
            </w:r>
            <w:r>
              <w:rPr>
                <w:rFonts w:hint="eastAsia" w:ascii="宋体" w:hAnsi="Times New Roman" w:eastAsia="宋体" w:cs="宋体"/>
                <w:color w:val="auto"/>
                <w:szCs w:val="21"/>
                <w:highlight w:val="none"/>
              </w:rPr>
              <w:t>提供</w:t>
            </w:r>
            <w:r>
              <w:rPr>
                <w:rFonts w:hint="eastAsia" w:ascii="宋体" w:hAnsi="Times New Roman" w:eastAsia="宋体" w:cs="宋体"/>
                <w:color w:val="auto"/>
                <w:szCs w:val="21"/>
                <w:highlight w:val="none"/>
                <w:lang w:val="en-US" w:eastAsia="zh-CN"/>
              </w:rPr>
              <w:t>的</w:t>
            </w:r>
            <w:r>
              <w:rPr>
                <w:rFonts w:hint="eastAsia" w:ascii="宋体" w:hAnsi="Times New Roman" w:eastAsia="宋体" w:cs="宋体"/>
                <w:color w:val="auto"/>
                <w:szCs w:val="21"/>
                <w:highlight w:val="none"/>
              </w:rPr>
              <w:t>活动设计和实施方案</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lang w:val="en-US" w:eastAsia="zh-CN"/>
              </w:rPr>
              <w:t>包括但不限于</w:t>
            </w:r>
            <w:r>
              <w:rPr>
                <w:rFonts w:ascii="宋体" w:hAnsi="Times New Roman" w:eastAsia="宋体" w:cs="宋体"/>
                <w:color w:val="auto"/>
                <w:szCs w:val="21"/>
                <w:highlight w:val="none"/>
                <w:lang w:val="en-US" w:eastAsia="zh-CN"/>
              </w:rPr>
              <w:t>①</w:t>
            </w:r>
            <w:r>
              <w:rPr>
                <w:rFonts w:hint="eastAsia" w:ascii="宋体" w:hAnsi="Times New Roman" w:eastAsia="宋体" w:cs="宋体"/>
                <w:color w:val="auto"/>
                <w:szCs w:val="21"/>
                <w:highlight w:val="none"/>
              </w:rPr>
              <w:t>活动设计、</w:t>
            </w:r>
            <w:r>
              <w:rPr>
                <w:rFonts w:ascii="宋体" w:hAnsi="Times New Roman" w:eastAsia="宋体" w:cs="宋体"/>
                <w:color w:val="auto"/>
                <w:szCs w:val="21"/>
                <w:highlight w:val="none"/>
              </w:rPr>
              <w:t>②</w:t>
            </w:r>
            <w:r>
              <w:rPr>
                <w:rFonts w:hint="eastAsia" w:ascii="宋体" w:hAnsi="Times New Roman" w:eastAsia="宋体" w:cs="宋体"/>
                <w:color w:val="auto"/>
                <w:szCs w:val="21"/>
                <w:highlight w:val="none"/>
              </w:rPr>
              <w:t>会场布局</w:t>
            </w:r>
            <w:r>
              <w:rPr>
                <w:rFonts w:hint="eastAsia" w:ascii="宋体" w:hAnsi="Times New Roman" w:eastAsia="宋体" w:cs="宋体"/>
                <w:color w:val="auto"/>
                <w:szCs w:val="21"/>
                <w:highlight w:val="none"/>
                <w:lang w:eastAsia="zh-CN"/>
              </w:rPr>
              <w:t>、</w:t>
            </w:r>
            <w:r>
              <w:rPr>
                <w:rFonts w:ascii="宋体" w:hAnsi="Times New Roman" w:eastAsia="宋体" w:cs="宋体"/>
                <w:color w:val="auto"/>
                <w:szCs w:val="21"/>
                <w:highlight w:val="none"/>
                <w:lang w:eastAsia="zh-CN"/>
              </w:rPr>
              <w:t>③</w:t>
            </w:r>
            <w:r>
              <w:rPr>
                <w:rFonts w:hint="eastAsia" w:ascii="宋体" w:hAnsi="Times New Roman" w:eastAsia="宋体" w:cs="宋体"/>
                <w:color w:val="auto"/>
                <w:szCs w:val="21"/>
                <w:highlight w:val="none"/>
              </w:rPr>
              <w:t>氛围营造、</w:t>
            </w:r>
            <w:r>
              <w:rPr>
                <w:rFonts w:ascii="宋体" w:hAnsi="Times New Roman" w:eastAsia="宋体" w:cs="宋体"/>
                <w:color w:val="auto"/>
                <w:szCs w:val="21"/>
                <w:highlight w:val="none"/>
                <w:lang w:eastAsia="zh-CN"/>
              </w:rPr>
              <w:t>④</w:t>
            </w:r>
            <w:r>
              <w:rPr>
                <w:rFonts w:hint="eastAsia" w:ascii="宋体" w:hAnsi="Times New Roman" w:eastAsia="宋体" w:cs="宋体"/>
                <w:color w:val="auto"/>
                <w:szCs w:val="21"/>
                <w:highlight w:val="none"/>
              </w:rPr>
              <w:t>制作搭建</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rPr>
              <w:t>进行综合评价</w:t>
            </w:r>
            <w:r>
              <w:rPr>
                <w:rFonts w:hint="eastAsia" w:ascii="宋体" w:hAnsi="Times New Roman" w:eastAsia="宋体" w:cs="宋体"/>
                <w:color w:val="auto"/>
                <w:szCs w:val="21"/>
                <w:highlight w:val="none"/>
                <w:lang w:eastAsia="zh-CN"/>
              </w:rPr>
              <w:t>：</w:t>
            </w:r>
          </w:p>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方案完整、详细、有效，合理全面，内容丰富详实</w:t>
            </w:r>
            <w:r>
              <w:rPr>
                <w:rFonts w:hint="eastAsia" w:ascii="宋体" w:hAnsi="Times New Roman" w:eastAsia="宋体" w:cs="宋体"/>
                <w:color w:val="auto"/>
                <w:szCs w:val="21"/>
                <w:highlight w:val="none"/>
                <w:lang w:val="en-US" w:eastAsia="zh-CN"/>
              </w:rPr>
              <w:t>且满足采购需求的</w:t>
            </w:r>
            <w:r>
              <w:rPr>
                <w:rFonts w:hint="eastAsia" w:ascii="宋体" w:hAnsi="Times New Roman" w:eastAsia="宋体" w:cs="宋体"/>
                <w:color w:val="auto"/>
                <w:szCs w:val="21"/>
                <w:highlight w:val="none"/>
              </w:rPr>
              <w:t>计</w:t>
            </w:r>
            <w:r>
              <w:rPr>
                <w:rFonts w:hint="eastAsia" w:ascii="宋体" w:hAnsi="Times New Roman" w:eastAsia="宋体" w:cs="宋体"/>
                <w:color w:val="auto"/>
                <w:szCs w:val="21"/>
                <w:highlight w:val="none"/>
                <w:lang w:val="en-US" w:eastAsia="zh-CN"/>
              </w:rPr>
              <w:t>2</w:t>
            </w:r>
            <w:r>
              <w:rPr>
                <w:rFonts w:hint="eastAsia" w:ascii="宋体" w:hAnsi="Times New Roman" w:eastAsia="宋体" w:cs="宋体"/>
                <w:color w:val="auto"/>
                <w:szCs w:val="21"/>
                <w:highlight w:val="none"/>
              </w:rPr>
              <w:t>0分；</w:t>
            </w:r>
          </w:p>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每缺少一项方案要求的内容扣</w:t>
            </w:r>
            <w:r>
              <w:rPr>
                <w:rFonts w:hint="eastAsia" w:ascii="宋体" w:hAnsi="Times New Roman" w:eastAsia="宋体" w:cs="宋体"/>
                <w:color w:val="auto"/>
                <w:szCs w:val="21"/>
                <w:highlight w:val="none"/>
                <w:lang w:val="en-US" w:eastAsia="zh-CN"/>
              </w:rPr>
              <w:t>5</w:t>
            </w:r>
            <w:r>
              <w:rPr>
                <w:rFonts w:hint="eastAsia" w:ascii="宋体" w:hAnsi="Times New Roman" w:eastAsia="宋体" w:cs="宋体"/>
                <w:color w:val="auto"/>
                <w:szCs w:val="21"/>
                <w:highlight w:val="none"/>
              </w:rPr>
              <w:t>分；每有一项方案要求的内容有一处描述欠合理、欠完善或描述不详、有错误的，一处扣</w:t>
            </w:r>
            <w:r>
              <w:rPr>
                <w:rFonts w:hint="eastAsia" w:ascii="宋体" w:hAnsi="Times New Roman" w:eastAsia="宋体" w:cs="宋体"/>
                <w:color w:val="auto"/>
                <w:szCs w:val="21"/>
                <w:highlight w:val="none"/>
                <w:lang w:val="en-US" w:eastAsia="zh-CN"/>
              </w:rPr>
              <w:t>2.5</w:t>
            </w:r>
            <w:r>
              <w:rPr>
                <w:rFonts w:hint="eastAsia" w:ascii="宋体" w:hAnsi="Times New Roman" w:eastAsia="宋体" w:cs="宋体"/>
                <w:color w:val="auto"/>
                <w:szCs w:val="21"/>
                <w:highlight w:val="none"/>
              </w:rPr>
              <w:t>分，扣完为止。未提供方案的不计分。评审依据：内容欠合理、欠完善或描述不详是指：方案内容与项目需求不一致、没有关联性与实际实施存在差异、内容空洞、语义表述不清、前后矛盾、存在歧义或混乱、内容不充实等；</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Times New Roman" w:eastAsia="宋体" w:cs="宋体"/>
                <w:color w:val="auto"/>
                <w:sz w:val="21"/>
                <w:szCs w:val="21"/>
                <w:highlight w:val="none"/>
              </w:rPr>
            </w:pPr>
            <w:r>
              <w:rPr>
                <w:rFonts w:hint="eastAsia" w:ascii="宋体" w:hAnsi="Times New Roman" w:eastAsia="宋体" w:cs="宋体"/>
                <w:color w:val="auto"/>
                <w:szCs w:val="21"/>
                <w:highlight w:val="none"/>
              </w:rPr>
              <w:t>错误是指：项目名称或项目编号或表述内容与本项目要求不一致、无关、逻辑错误、涉及的技术规范标准等与国家或行业标准或招标文件要求不一致等。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45" w:hRule="atLeast"/>
          <w:jc w:val="center"/>
        </w:trPr>
        <w:tc>
          <w:tcPr>
            <w:tcW w:w="705" w:type="dxa"/>
            <w:vMerge w:val="continue"/>
            <w:tcBorders>
              <w:left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spacing w:line="560" w:lineRule="exact"/>
              <w:textAlignment w:val="auto"/>
              <w:rPr>
                <w:rFonts w:ascii="Times New Roman" w:hAnsi="Times New Roman" w:eastAsia="宋体" w:cs="Times New Roman"/>
              </w:rPr>
            </w:pPr>
          </w:p>
        </w:tc>
        <w:tc>
          <w:tcPr>
            <w:tcW w:w="1165" w:type="dxa"/>
            <w:tcBorders>
              <w:top w:val="single" w:color="auto" w:sz="4" w:space="0"/>
              <w:left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spacing w:line="560" w:lineRule="exact"/>
              <w:jc w:val="center"/>
              <w:textAlignment w:val="auto"/>
              <w:rPr>
                <w:rFonts w:hint="eastAsia" w:ascii="宋体" w:hAnsi="Times New Roman" w:eastAsia="宋体" w:cs="宋体"/>
                <w:color w:val="auto"/>
                <w:sz w:val="21"/>
                <w:szCs w:val="21"/>
                <w:highlight w:val="none"/>
              </w:rPr>
            </w:pPr>
            <w:r>
              <w:rPr>
                <w:rFonts w:hint="eastAsia" w:ascii="宋体" w:hAnsi="Times New Roman" w:eastAsia="宋体" w:cs="Calibri"/>
                <w:kern w:val="36"/>
                <w:szCs w:val="21"/>
                <w:highlight w:val="none"/>
              </w:rPr>
              <w:t>会务服务工作方案</w:t>
            </w:r>
          </w:p>
        </w:tc>
        <w:tc>
          <w:tcPr>
            <w:tcW w:w="669" w:type="dxa"/>
            <w:tcBorders>
              <w:top w:val="single" w:color="auto" w:sz="4" w:space="0"/>
              <w:left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spacing w:line="560" w:lineRule="exact"/>
              <w:jc w:val="center"/>
              <w:textAlignment w:val="auto"/>
              <w:rPr>
                <w:rFonts w:hint="eastAsia" w:ascii="宋体" w:hAnsi="Times New Roman" w:eastAsia="宋体" w:cs="宋体"/>
                <w:color w:val="auto"/>
                <w:sz w:val="21"/>
                <w:szCs w:val="21"/>
                <w:highlight w:val="none"/>
                <w:lang w:val="en-US" w:eastAsia="zh-CN"/>
              </w:rPr>
            </w:pPr>
            <w:r>
              <w:rPr>
                <w:rFonts w:hint="eastAsia" w:ascii="宋体" w:hAnsi="Times New Roman" w:eastAsia="宋体" w:cs="宋体"/>
                <w:szCs w:val="21"/>
                <w:highlight w:val="none"/>
                <w:lang w:val="en-US" w:eastAsia="zh-CN"/>
              </w:rPr>
              <w:t>30分</w:t>
            </w:r>
          </w:p>
        </w:tc>
        <w:tc>
          <w:tcPr>
            <w:tcW w:w="7462" w:type="dxa"/>
            <w:tcBorders>
              <w:top w:val="single" w:color="auto" w:sz="4" w:space="0"/>
              <w:left w:val="single" w:color="auto" w:sz="4" w:space="0"/>
              <w:tl2br w:val="nil"/>
              <w:tr2bl w:val="nil"/>
            </w:tcBorders>
            <w:noWrap/>
            <w:vAlign w:val="center"/>
          </w:tcPr>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根据供应商</w:t>
            </w:r>
            <w:r>
              <w:rPr>
                <w:rFonts w:hint="eastAsia" w:ascii="宋体" w:hAnsi="Times New Roman" w:eastAsia="宋体" w:cs="宋体"/>
                <w:color w:val="auto"/>
                <w:szCs w:val="21"/>
                <w:highlight w:val="none"/>
              </w:rPr>
              <w:t>提供的会务服务工作方案</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lang w:val="en-US" w:eastAsia="zh-CN"/>
              </w:rPr>
              <w:t>包括但不限于</w:t>
            </w:r>
            <w:r>
              <w:rPr>
                <w:rFonts w:ascii="宋体" w:hAnsi="Times New Roman" w:eastAsia="宋体" w:cs="宋体"/>
                <w:color w:val="auto"/>
                <w:szCs w:val="21"/>
                <w:highlight w:val="none"/>
                <w:lang w:val="en-US" w:eastAsia="zh-CN"/>
              </w:rPr>
              <w:t>①</w:t>
            </w:r>
            <w:r>
              <w:rPr>
                <w:rFonts w:hint="eastAsia" w:ascii="宋体" w:hAnsi="Times New Roman" w:eastAsia="宋体" w:cs="宋体"/>
                <w:color w:val="auto"/>
                <w:szCs w:val="21"/>
                <w:highlight w:val="none"/>
                <w:lang w:val="en-US" w:eastAsia="zh-CN"/>
              </w:rPr>
              <w:t>流程</w:t>
            </w:r>
            <w:r>
              <w:rPr>
                <w:rFonts w:hint="eastAsia" w:ascii="宋体" w:hAnsi="Times New Roman" w:eastAsia="宋体" w:cs="宋体"/>
                <w:color w:val="auto"/>
                <w:szCs w:val="21"/>
                <w:highlight w:val="none"/>
              </w:rPr>
              <w:t>保障措施及应急预案</w:t>
            </w:r>
            <w:r>
              <w:rPr>
                <w:rFonts w:hint="eastAsia" w:ascii="宋体" w:hAnsi="Times New Roman" w:eastAsia="宋体" w:cs="宋体"/>
                <w:color w:val="auto"/>
                <w:szCs w:val="21"/>
                <w:highlight w:val="none"/>
                <w:lang w:eastAsia="zh-CN"/>
              </w:rPr>
              <w:t>、</w:t>
            </w:r>
            <w:r>
              <w:rPr>
                <w:rFonts w:ascii="宋体" w:hAnsi="Times New Roman" w:eastAsia="宋体" w:cs="宋体"/>
                <w:color w:val="auto"/>
                <w:szCs w:val="21"/>
                <w:highlight w:val="none"/>
              </w:rPr>
              <w:t>②</w:t>
            </w:r>
            <w:r>
              <w:rPr>
                <w:rFonts w:hint="eastAsia" w:ascii="宋体" w:hAnsi="Times New Roman" w:eastAsia="宋体" w:cs="宋体"/>
                <w:color w:val="auto"/>
                <w:szCs w:val="21"/>
                <w:highlight w:val="none"/>
              </w:rPr>
              <w:t>项目组织管理</w:t>
            </w:r>
            <w:r>
              <w:rPr>
                <w:rFonts w:hint="eastAsia" w:ascii="宋体" w:hAnsi="Times New Roman" w:eastAsia="宋体" w:cs="宋体"/>
                <w:color w:val="auto"/>
                <w:szCs w:val="21"/>
                <w:highlight w:val="none"/>
                <w:lang w:eastAsia="zh-CN"/>
              </w:rPr>
              <w:t>、</w:t>
            </w:r>
            <w:r>
              <w:rPr>
                <w:rFonts w:ascii="宋体" w:hAnsi="Times New Roman" w:eastAsia="宋体" w:cs="宋体"/>
                <w:color w:val="auto"/>
                <w:szCs w:val="21"/>
                <w:highlight w:val="none"/>
                <w:lang w:eastAsia="zh-CN"/>
              </w:rPr>
              <w:t>③</w:t>
            </w:r>
            <w:r>
              <w:rPr>
                <w:rFonts w:hint="eastAsia" w:ascii="宋体" w:hAnsi="Times New Roman" w:eastAsia="宋体" w:cs="宋体"/>
                <w:color w:val="auto"/>
                <w:szCs w:val="21"/>
                <w:highlight w:val="none"/>
              </w:rPr>
              <w:t>接待服务</w:t>
            </w:r>
            <w:r>
              <w:rPr>
                <w:rFonts w:hint="eastAsia" w:ascii="宋体" w:hAnsi="Times New Roman" w:eastAsia="宋体" w:cs="宋体"/>
                <w:color w:val="auto"/>
                <w:szCs w:val="21"/>
                <w:highlight w:val="none"/>
                <w:lang w:eastAsia="zh-CN"/>
              </w:rPr>
              <w:t>）</w:t>
            </w:r>
            <w:r>
              <w:rPr>
                <w:rFonts w:hint="eastAsia" w:ascii="宋体" w:hAnsi="Times New Roman" w:eastAsia="宋体" w:cs="宋体"/>
                <w:color w:val="auto"/>
                <w:szCs w:val="21"/>
                <w:highlight w:val="none"/>
              </w:rPr>
              <w:t>进行综合评价</w:t>
            </w:r>
            <w:r>
              <w:rPr>
                <w:rFonts w:hint="eastAsia" w:ascii="宋体" w:hAnsi="Times New Roman" w:eastAsia="宋体" w:cs="宋体"/>
                <w:color w:val="auto"/>
                <w:szCs w:val="21"/>
                <w:highlight w:val="none"/>
                <w:lang w:eastAsia="zh-CN"/>
              </w:rPr>
              <w:t>：</w:t>
            </w:r>
          </w:p>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方案完整、详细、有效，合理全面，内容丰富详实</w:t>
            </w:r>
            <w:r>
              <w:rPr>
                <w:rFonts w:hint="eastAsia" w:ascii="宋体" w:hAnsi="Times New Roman" w:eastAsia="宋体" w:cs="宋体"/>
                <w:color w:val="auto"/>
                <w:szCs w:val="21"/>
                <w:highlight w:val="none"/>
                <w:lang w:val="en-US" w:eastAsia="zh-CN"/>
              </w:rPr>
              <w:t>且满足采购需求的</w:t>
            </w:r>
            <w:r>
              <w:rPr>
                <w:rFonts w:hint="eastAsia" w:ascii="宋体" w:hAnsi="Times New Roman" w:eastAsia="宋体" w:cs="宋体"/>
                <w:color w:val="auto"/>
                <w:szCs w:val="21"/>
                <w:highlight w:val="none"/>
              </w:rPr>
              <w:t>计</w:t>
            </w:r>
            <w:r>
              <w:rPr>
                <w:rFonts w:hint="eastAsia" w:ascii="宋体" w:hAnsi="Times New Roman" w:eastAsia="宋体" w:cs="宋体"/>
                <w:color w:val="auto"/>
                <w:szCs w:val="21"/>
                <w:highlight w:val="none"/>
                <w:lang w:val="en-US" w:eastAsia="zh-CN"/>
              </w:rPr>
              <w:t>3</w:t>
            </w:r>
            <w:r>
              <w:rPr>
                <w:rFonts w:hint="eastAsia" w:ascii="宋体" w:hAnsi="Times New Roman" w:eastAsia="宋体" w:cs="宋体"/>
                <w:color w:val="auto"/>
                <w:szCs w:val="21"/>
                <w:highlight w:val="none"/>
              </w:rPr>
              <w:t>0分；</w:t>
            </w:r>
          </w:p>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每缺少一项方案要求的内容扣</w:t>
            </w:r>
            <w:r>
              <w:rPr>
                <w:rFonts w:hint="eastAsia" w:ascii="宋体" w:hAnsi="Times New Roman" w:eastAsia="宋体" w:cs="宋体"/>
                <w:color w:val="auto"/>
                <w:szCs w:val="21"/>
                <w:highlight w:val="none"/>
                <w:lang w:val="en-US" w:eastAsia="zh-CN"/>
              </w:rPr>
              <w:t>10</w:t>
            </w:r>
            <w:r>
              <w:rPr>
                <w:rFonts w:hint="eastAsia" w:ascii="宋体" w:hAnsi="Times New Roman" w:eastAsia="宋体" w:cs="宋体"/>
                <w:color w:val="auto"/>
                <w:szCs w:val="21"/>
                <w:highlight w:val="none"/>
              </w:rPr>
              <w:t>分；每有一项方案要求的内容有一处描述欠合理、欠完善或描述不详、有错误的，一处扣</w:t>
            </w:r>
            <w:r>
              <w:rPr>
                <w:rFonts w:hint="eastAsia" w:ascii="宋体" w:hAnsi="Times New Roman" w:eastAsia="宋体" w:cs="宋体"/>
                <w:color w:val="auto"/>
                <w:szCs w:val="21"/>
                <w:highlight w:val="none"/>
                <w:lang w:val="en-US" w:eastAsia="zh-CN"/>
              </w:rPr>
              <w:t>5</w:t>
            </w:r>
            <w:r>
              <w:rPr>
                <w:rFonts w:hint="eastAsia" w:ascii="宋体" w:hAnsi="Times New Roman" w:eastAsia="宋体" w:cs="宋体"/>
                <w:color w:val="auto"/>
                <w:szCs w:val="21"/>
                <w:highlight w:val="none"/>
              </w:rPr>
              <w:t>分，扣完为止。未提供方案的不计分。评审依据：内容欠合理、欠完善或描述不详是指：方案内容与项目需求不一致、没有关联性与实际实施存在差异、内容空洞、语义表述不清、前后矛盾、存在歧义或混乱、内容不充实等；</w:t>
            </w:r>
          </w:p>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sz w:val="21"/>
                <w:szCs w:val="21"/>
                <w:highlight w:val="none"/>
              </w:rPr>
            </w:pPr>
            <w:r>
              <w:rPr>
                <w:rFonts w:hint="eastAsia" w:ascii="宋体" w:hAnsi="Times New Roman" w:eastAsia="宋体" w:cs="宋体"/>
                <w:color w:val="auto"/>
                <w:szCs w:val="21"/>
                <w:highlight w:val="none"/>
              </w:rPr>
              <w:t>错误是指：项目名称或项目编号或表述内容与本项目要求不一致、无关、逻辑错误、涉及的技术规范标准等与国家或行业标准或招标文件要求不一致等。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dxa"/>
            <w:vMerge w:val="restart"/>
            <w:tcBorders>
              <w:left w:val="single" w:color="auto" w:sz="4" w:space="0"/>
              <w:right w:val="single" w:color="auto" w:sz="4" w:space="0"/>
              <w:tl2br w:val="nil"/>
              <w:tr2bl w:val="nil"/>
            </w:tcBorders>
            <w:noWrap/>
            <w:vAlign w:val="center"/>
          </w:tcPr>
          <w:p>
            <w:pPr>
              <w:keepNext w:val="0"/>
              <w:keepLines w:val="0"/>
              <w:pageBreakBefore w:val="0"/>
              <w:widowControl/>
              <w:tabs>
                <w:tab w:val="left" w:pos="3067"/>
              </w:tabs>
              <w:kinsoku/>
              <w:wordWrap/>
              <w:overflowPunct/>
              <w:topLinePunct w:val="0"/>
              <w:bidi w:val="0"/>
              <w:spacing w:line="560" w:lineRule="exact"/>
              <w:jc w:val="center"/>
              <w:textAlignment w:val="auto"/>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商务</w:t>
            </w:r>
          </w:p>
          <w:p>
            <w:pPr>
              <w:keepNext w:val="0"/>
              <w:keepLines w:val="0"/>
              <w:pageBreakBefore w:val="0"/>
              <w:widowControl/>
              <w:tabs>
                <w:tab w:val="left" w:pos="3067"/>
              </w:tabs>
              <w:kinsoku/>
              <w:wordWrap/>
              <w:overflowPunct/>
              <w:topLinePunct w:val="0"/>
              <w:bidi w:val="0"/>
              <w:spacing w:line="560" w:lineRule="exact"/>
              <w:jc w:val="center"/>
              <w:textAlignment w:val="auto"/>
              <w:rPr>
                <w:rFonts w:ascii="宋体" w:hAnsi="Times New Roman" w:eastAsia="宋体" w:cs="宋体"/>
                <w:color w:val="auto"/>
                <w:sz w:val="21"/>
                <w:szCs w:val="21"/>
                <w:highlight w:val="none"/>
                <w:lang w:val="en-US" w:eastAsia="zh-CN"/>
              </w:rPr>
            </w:pPr>
          </w:p>
        </w:tc>
        <w:tc>
          <w:tcPr>
            <w:tcW w:w="116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类似业绩</w:t>
            </w:r>
          </w:p>
        </w:tc>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宋体" w:hAnsi="Times New Roman" w:eastAsia="宋体" w:cs="宋体"/>
                <w:color w:val="auto"/>
                <w:kern w:val="0"/>
                <w:sz w:val="21"/>
                <w:szCs w:val="21"/>
                <w:highlight w:val="none"/>
                <w:lang w:val="en-US" w:eastAsia="zh-CN"/>
              </w:rPr>
            </w:pPr>
            <w:r>
              <w:rPr>
                <w:rFonts w:hint="eastAsia" w:ascii="宋体" w:hAnsi="Times New Roman" w:eastAsia="宋体" w:cs="宋体"/>
                <w:color w:val="auto"/>
                <w:kern w:val="0"/>
                <w:sz w:val="21"/>
                <w:szCs w:val="21"/>
                <w:highlight w:val="none"/>
                <w:lang w:val="en-US" w:eastAsia="zh-CN"/>
              </w:rPr>
              <w:t>12分</w:t>
            </w:r>
          </w:p>
        </w:tc>
        <w:tc>
          <w:tcPr>
            <w:tcW w:w="7462" w:type="dxa"/>
            <w:tcBorders>
              <w:top w:val="single" w:color="auto" w:sz="4" w:space="0"/>
              <w:left w:val="single" w:color="auto" w:sz="4" w:space="0"/>
              <w:bottom w:val="single" w:color="auto" w:sz="4" w:space="0"/>
              <w:tl2br w:val="nil"/>
              <w:tr2bl w:val="nil"/>
            </w:tcBorders>
            <w:noWrap/>
            <w:vAlign w:val="center"/>
          </w:tcPr>
          <w:p>
            <w:pPr>
              <w:keepNext w:val="0"/>
              <w:keepLines w:val="0"/>
              <w:pageBreakBefore w:val="0"/>
              <w:kinsoku/>
              <w:wordWrap/>
              <w:overflowPunct/>
              <w:topLinePunct w:val="0"/>
              <w:autoSpaceDE w:val="0"/>
              <w:autoSpaceDN w:val="0"/>
              <w:bidi w:val="0"/>
              <w:adjustRightInd w:val="0"/>
              <w:spacing w:after="120" w:line="560" w:lineRule="exact"/>
              <w:ind w:left="97" w:leftChars="46" w:right="168" w:rightChars="80"/>
              <w:jc w:val="left"/>
              <w:textAlignment w:val="auto"/>
              <w:rPr>
                <w:rFonts w:hint="eastAsia" w:ascii="宋体" w:hAnsi="Times New Roman" w:eastAsia="宋体" w:cs="宋体"/>
                <w:color w:val="auto"/>
                <w:kern w:val="0"/>
                <w:sz w:val="21"/>
                <w:szCs w:val="21"/>
                <w:highlight w:val="none"/>
              </w:rPr>
            </w:pPr>
            <w:r>
              <w:rPr>
                <w:rFonts w:hint="eastAsia" w:ascii="宋体" w:hAnsi="Times New Roman" w:eastAsia="宋体" w:cs="宋体"/>
                <w:color w:val="auto"/>
                <w:kern w:val="0"/>
                <w:sz w:val="21"/>
                <w:szCs w:val="21"/>
                <w:highlight w:val="none"/>
              </w:rPr>
              <w:t>投标人自20</w:t>
            </w:r>
            <w:r>
              <w:rPr>
                <w:rFonts w:hint="eastAsia" w:ascii="宋体" w:hAnsi="Times New Roman" w:eastAsia="宋体" w:cs="宋体"/>
                <w:color w:val="auto"/>
                <w:kern w:val="0"/>
                <w:sz w:val="21"/>
                <w:szCs w:val="21"/>
                <w:highlight w:val="none"/>
                <w:lang w:val="en-US" w:eastAsia="zh-CN"/>
              </w:rPr>
              <w:t>22</w:t>
            </w:r>
            <w:r>
              <w:rPr>
                <w:rFonts w:hint="eastAsia" w:ascii="宋体" w:hAnsi="Times New Roman" w:eastAsia="宋体" w:cs="宋体"/>
                <w:color w:val="auto"/>
                <w:kern w:val="0"/>
                <w:sz w:val="21"/>
                <w:szCs w:val="21"/>
                <w:highlight w:val="none"/>
              </w:rPr>
              <w:t>年</w:t>
            </w:r>
            <w:r>
              <w:rPr>
                <w:rFonts w:hint="eastAsia" w:ascii="宋体" w:hAnsi="Times New Roman" w:eastAsia="宋体" w:cs="宋体"/>
                <w:color w:val="auto"/>
                <w:kern w:val="0"/>
                <w:sz w:val="21"/>
                <w:szCs w:val="21"/>
                <w:highlight w:val="none"/>
                <w:lang w:val="en-US" w:eastAsia="zh-CN"/>
              </w:rPr>
              <w:t>10月</w:t>
            </w:r>
            <w:r>
              <w:rPr>
                <w:rFonts w:hint="eastAsia" w:ascii="宋体" w:hAnsi="Times New Roman" w:eastAsia="宋体" w:cs="宋体"/>
                <w:szCs w:val="21"/>
                <w:highlight w:val="none"/>
              </w:rPr>
              <w:t>1日</w:t>
            </w:r>
            <w:r>
              <w:rPr>
                <w:rFonts w:hint="eastAsia" w:ascii="宋体" w:hAnsi="Times New Roman" w:eastAsia="宋体" w:cs="宋体"/>
                <w:color w:val="auto"/>
                <w:kern w:val="0"/>
                <w:sz w:val="21"/>
                <w:szCs w:val="21"/>
                <w:highlight w:val="none"/>
              </w:rPr>
              <w:t>以来具有类似项目业绩的，每提供1个计</w:t>
            </w:r>
            <w:r>
              <w:rPr>
                <w:rFonts w:hint="eastAsia" w:ascii="宋体" w:hAnsi="Times New Roman" w:eastAsia="宋体" w:cs="宋体"/>
                <w:color w:val="auto"/>
                <w:kern w:val="0"/>
                <w:sz w:val="21"/>
                <w:szCs w:val="21"/>
                <w:highlight w:val="none"/>
                <w:lang w:val="en-US" w:eastAsia="zh-CN"/>
              </w:rPr>
              <w:t>2</w:t>
            </w:r>
            <w:r>
              <w:rPr>
                <w:rFonts w:hint="eastAsia" w:ascii="宋体" w:hAnsi="Times New Roman" w:eastAsia="宋体" w:cs="宋体"/>
                <w:color w:val="auto"/>
                <w:kern w:val="0"/>
                <w:sz w:val="21"/>
                <w:szCs w:val="21"/>
                <w:highlight w:val="none"/>
              </w:rPr>
              <w:t>分，计满</w:t>
            </w:r>
            <w:r>
              <w:rPr>
                <w:rFonts w:hint="eastAsia" w:ascii="宋体" w:hAnsi="Times New Roman" w:eastAsia="宋体" w:cs="宋体"/>
                <w:color w:val="auto"/>
                <w:kern w:val="0"/>
                <w:sz w:val="21"/>
                <w:szCs w:val="21"/>
                <w:highlight w:val="none"/>
                <w:lang w:val="en-US" w:eastAsia="zh-CN"/>
              </w:rPr>
              <w:t>12</w:t>
            </w:r>
            <w:r>
              <w:rPr>
                <w:rFonts w:hint="eastAsia" w:ascii="宋体" w:hAnsi="Times New Roman" w:eastAsia="宋体" w:cs="宋体"/>
                <w:color w:val="auto"/>
                <w:kern w:val="0"/>
                <w:sz w:val="21"/>
                <w:szCs w:val="21"/>
                <w:highlight w:val="none"/>
              </w:rPr>
              <w:t>分止。（提供合同复印件或中标（成交）通知书复印件并加盖投标人公章，否则不计分）。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705" w:type="dxa"/>
            <w:vMerge w:val="continue"/>
            <w:tcBorders>
              <w:left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spacing w:line="560" w:lineRule="exact"/>
              <w:textAlignment w:val="auto"/>
              <w:rPr>
                <w:rFonts w:ascii="Times New Roman" w:hAnsi="Times New Roman" w:eastAsia="宋体" w:cs="Times New Roman"/>
              </w:rPr>
            </w:pPr>
          </w:p>
        </w:tc>
        <w:tc>
          <w:tcPr>
            <w:tcW w:w="116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hint="eastAsia" w:ascii="宋体" w:hAnsi="Times New Roman" w:eastAsia="宋体" w:cs="宋体"/>
                <w:color w:val="auto"/>
                <w:sz w:val="21"/>
                <w:szCs w:val="21"/>
                <w:highlight w:val="none"/>
              </w:rPr>
            </w:pPr>
            <w:r>
              <w:rPr>
                <w:rFonts w:ascii="宋体" w:hAnsi="Times New Roman" w:eastAsia="宋体" w:cs="宋体"/>
                <w:highlight w:val="none"/>
              </w:rPr>
              <w:t>服务团队</w:t>
            </w:r>
          </w:p>
        </w:tc>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kinsoku/>
              <w:wordWrap/>
              <w:overflowPunct/>
              <w:topLinePunct w:val="0"/>
              <w:bidi w:val="0"/>
              <w:spacing w:line="560" w:lineRule="exact"/>
              <w:jc w:val="center"/>
              <w:textAlignment w:val="auto"/>
              <w:rPr>
                <w:rFonts w:hint="eastAsia" w:ascii="宋体" w:hAnsi="Times New Roman" w:eastAsia="宋体" w:cs="宋体"/>
                <w:color w:val="auto"/>
                <w:kern w:val="0"/>
                <w:sz w:val="21"/>
                <w:szCs w:val="21"/>
                <w:highlight w:val="none"/>
                <w:lang w:val="en-US" w:eastAsia="zh-CN"/>
              </w:rPr>
            </w:pPr>
            <w:r>
              <w:rPr>
                <w:rFonts w:hint="eastAsia" w:ascii="宋体" w:hAnsi="Times New Roman" w:eastAsia="宋体" w:cs="宋体"/>
                <w:highlight w:val="none"/>
              </w:rPr>
              <w:t>8</w:t>
            </w:r>
            <w:r>
              <w:rPr>
                <w:rFonts w:hint="eastAsia" w:ascii="宋体" w:hAnsi="Times New Roman" w:eastAsia="宋体" w:cs="宋体"/>
                <w:highlight w:val="none"/>
                <w:lang w:eastAsia="zh-CN"/>
              </w:rPr>
              <w:t>分</w:t>
            </w:r>
          </w:p>
        </w:tc>
        <w:tc>
          <w:tcPr>
            <w:tcW w:w="7462" w:type="dxa"/>
            <w:tcBorders>
              <w:top w:val="single" w:color="auto" w:sz="4" w:space="0"/>
              <w:left w:val="single" w:color="auto" w:sz="4" w:space="0"/>
              <w:bottom w:val="single" w:color="auto" w:sz="4" w:space="0"/>
              <w:tl2br w:val="nil"/>
              <w:tr2bl w:val="nil"/>
            </w:tcBorders>
            <w:noWrap/>
            <w:vAlign w:val="center"/>
          </w:tcPr>
          <w:p>
            <w:pPr>
              <w:keepNext w:val="0"/>
              <w:keepLines w:val="0"/>
              <w:pageBreakBefore w:val="0"/>
              <w:kinsoku/>
              <w:wordWrap/>
              <w:overflowPunct/>
              <w:topLinePunct w:val="0"/>
              <w:bidi w:val="0"/>
              <w:spacing w:line="560" w:lineRule="exact"/>
              <w:jc w:val="left"/>
              <w:textAlignment w:val="auto"/>
              <w:rPr>
                <w:rFonts w:hint="eastAsia" w:ascii="宋体" w:hAnsi="Times New Roman" w:eastAsia="宋体" w:cs="宋体"/>
                <w:color w:val="auto"/>
                <w:kern w:val="0"/>
                <w:sz w:val="21"/>
                <w:szCs w:val="21"/>
                <w:highlight w:val="none"/>
              </w:rPr>
            </w:pPr>
            <w:r>
              <w:rPr>
                <w:rFonts w:hint="eastAsia" w:ascii="宋体" w:hAnsi="Times New Roman" w:eastAsia="宋体" w:cs="宋体"/>
                <w:highlight w:val="none"/>
              </w:rPr>
              <w:t>供应商针对本项目</w:t>
            </w:r>
            <w:r>
              <w:rPr>
                <w:rFonts w:ascii="宋体" w:hAnsi="Times New Roman" w:eastAsia="宋体" w:cs="宋体"/>
                <w:highlight w:val="none"/>
              </w:rPr>
              <w:t>指派的项目经理/项目负责人</w:t>
            </w:r>
            <w:r>
              <w:rPr>
                <w:rFonts w:hint="eastAsia" w:ascii="宋体" w:hAnsi="Times New Roman" w:eastAsia="宋体" w:cs="宋体"/>
                <w:szCs w:val="21"/>
                <w:highlight w:val="none"/>
              </w:rPr>
              <w:t>自</w:t>
            </w:r>
            <w:r>
              <w:rPr>
                <w:rFonts w:ascii="宋体" w:hAnsi="Times New Roman" w:eastAsia="宋体" w:cs="宋体"/>
                <w:szCs w:val="21"/>
                <w:highlight w:val="none"/>
              </w:rPr>
              <w:t>202</w:t>
            </w:r>
            <w:r>
              <w:rPr>
                <w:rFonts w:hint="eastAsia" w:ascii="宋体" w:hAnsi="Times New Roman" w:eastAsia="宋体" w:cs="宋体"/>
                <w:szCs w:val="21"/>
                <w:highlight w:val="none"/>
              </w:rPr>
              <w:t>2</w:t>
            </w:r>
            <w:r>
              <w:rPr>
                <w:rFonts w:ascii="宋体" w:hAnsi="Times New Roman" w:eastAsia="宋体" w:cs="宋体"/>
                <w:szCs w:val="21"/>
                <w:highlight w:val="none"/>
              </w:rPr>
              <w:t>年</w:t>
            </w:r>
            <w:r>
              <w:rPr>
                <w:rFonts w:hint="eastAsia" w:ascii="宋体" w:hAnsi="Times New Roman" w:eastAsia="宋体" w:cs="宋体"/>
                <w:szCs w:val="21"/>
                <w:highlight w:val="none"/>
              </w:rPr>
              <w:t>1</w:t>
            </w:r>
            <w:r>
              <w:rPr>
                <w:rFonts w:hint="eastAsia" w:ascii="宋体" w:hAnsi="Times New Roman" w:eastAsia="宋体" w:cs="宋体"/>
                <w:szCs w:val="21"/>
                <w:highlight w:val="none"/>
                <w:lang w:val="en-US" w:eastAsia="zh-CN"/>
              </w:rPr>
              <w:t>0</w:t>
            </w:r>
            <w:r>
              <w:rPr>
                <w:rFonts w:hint="eastAsia" w:ascii="宋体" w:hAnsi="Times New Roman" w:eastAsia="宋体" w:cs="宋体"/>
                <w:szCs w:val="21"/>
                <w:highlight w:val="none"/>
              </w:rPr>
              <w:t>月1日</w:t>
            </w:r>
            <w:r>
              <w:rPr>
                <w:rFonts w:ascii="宋体" w:hAnsi="Times New Roman" w:eastAsia="宋体" w:cs="宋体"/>
                <w:szCs w:val="21"/>
                <w:highlight w:val="none"/>
              </w:rPr>
              <w:t>以来</w:t>
            </w:r>
            <w:r>
              <w:rPr>
                <w:rFonts w:ascii="宋体" w:hAnsi="Times New Roman" w:eastAsia="宋体" w:cs="宋体"/>
                <w:highlight w:val="none"/>
              </w:rPr>
              <w:t>（以展会活动的时间为准）担任过</w:t>
            </w:r>
            <w:r>
              <w:rPr>
                <w:rFonts w:hint="eastAsia" w:ascii="宋体" w:hAnsi="Times New Roman" w:eastAsia="宋体" w:cs="宋体"/>
                <w:highlight w:val="none"/>
              </w:rPr>
              <w:t>类似</w:t>
            </w:r>
            <w:r>
              <w:rPr>
                <w:rFonts w:ascii="宋体" w:hAnsi="Times New Roman" w:eastAsia="宋体" w:cs="宋体"/>
                <w:highlight w:val="none"/>
              </w:rPr>
              <w:t>展览（或展销或会议或活动）会务的组织运营管理负责人职务的，</w:t>
            </w:r>
            <w:r>
              <w:rPr>
                <w:rFonts w:hint="eastAsia" w:ascii="宋体" w:hAnsi="Times New Roman" w:eastAsia="宋体" w:cs="宋体"/>
                <w:highlight w:val="none"/>
              </w:rPr>
              <w:t>每个</w:t>
            </w:r>
            <w:r>
              <w:rPr>
                <w:rFonts w:ascii="宋体" w:hAnsi="Times New Roman" w:eastAsia="宋体" w:cs="宋体"/>
                <w:highlight w:val="none"/>
              </w:rPr>
              <w:t>计</w:t>
            </w:r>
            <w:r>
              <w:rPr>
                <w:rFonts w:hint="eastAsia" w:ascii="宋体" w:hAnsi="Times New Roman" w:eastAsia="宋体" w:cs="宋体"/>
                <w:highlight w:val="none"/>
              </w:rPr>
              <w:t>4</w:t>
            </w:r>
            <w:r>
              <w:rPr>
                <w:rFonts w:ascii="宋体" w:hAnsi="Times New Roman" w:eastAsia="宋体" w:cs="宋体"/>
                <w:highlight w:val="none"/>
              </w:rPr>
              <w:t>分</w:t>
            </w:r>
            <w:r>
              <w:rPr>
                <w:rFonts w:hint="eastAsia" w:ascii="宋体" w:hAnsi="Times New Roman" w:eastAsia="宋体" w:cs="宋体"/>
                <w:highlight w:val="none"/>
              </w:rPr>
              <w:t>，最高计8分。</w:t>
            </w:r>
            <w:r>
              <w:rPr>
                <w:rFonts w:ascii="宋体" w:hAnsi="Times New Roman" w:eastAsia="宋体" w:cs="宋体"/>
                <w:highlight w:val="none"/>
              </w:rPr>
              <w:t>提供项目简介（时间、地点、主办部门）及其任职证明（用人单位证明或聘用合同或项目授权或项目合同中的有关信息）扫描件。同时提供</w:t>
            </w:r>
            <w:r>
              <w:rPr>
                <w:rFonts w:hint="eastAsia" w:ascii="宋体" w:hAnsi="Times New Roman" w:eastAsia="宋体" w:cs="宋体"/>
                <w:highlight w:val="none"/>
              </w:rPr>
              <w:t>供应商</w:t>
            </w:r>
            <w:r>
              <w:rPr>
                <w:rFonts w:ascii="宋体" w:hAnsi="Times New Roman" w:eastAsia="宋体" w:cs="宋体"/>
                <w:highlight w:val="none"/>
              </w:rPr>
              <w:t>为其缴纳社保的证明(近半年</w:t>
            </w:r>
            <w:r>
              <w:rPr>
                <w:rFonts w:hint="eastAsia" w:ascii="宋体" w:hAnsi="Times New Roman" w:eastAsia="宋体" w:cs="宋体"/>
                <w:highlight w:val="none"/>
                <w:lang w:val="en-US" w:eastAsia="zh-CN"/>
              </w:rPr>
              <w:t>内</w:t>
            </w:r>
            <w:r>
              <w:rPr>
                <w:rFonts w:ascii="宋体" w:hAnsi="Times New Roman" w:eastAsia="宋体" w:cs="宋体"/>
                <w:highlight w:val="none"/>
              </w:rPr>
              <w:t>任意连续</w:t>
            </w:r>
            <w:r>
              <w:rPr>
                <w:rFonts w:hint="eastAsia" w:ascii="宋体" w:hAnsi="Times New Roman" w:eastAsia="宋体" w:cs="宋体"/>
                <w:highlight w:val="none"/>
                <w:lang w:val="en-US" w:eastAsia="zh-CN"/>
              </w:rPr>
              <w:t>三</w:t>
            </w:r>
            <w:r>
              <w:rPr>
                <w:rFonts w:ascii="宋体" w:hAnsi="Times New Roman" w:eastAsia="宋体" w:cs="宋体"/>
                <w:highlight w:val="none"/>
              </w:rPr>
              <w:t>个月)。</w:t>
            </w:r>
          </w:p>
        </w:tc>
      </w:tr>
    </w:tbl>
    <w:p>
      <w:pPr>
        <w:keepNext w:val="0"/>
        <w:keepLines w:val="0"/>
        <w:pageBreakBefore w:val="0"/>
        <w:kinsoku/>
        <w:wordWrap/>
        <w:overflowPunct/>
        <w:topLinePunct w:val="0"/>
        <w:bidi w:val="0"/>
        <w:spacing w:line="560" w:lineRule="exact"/>
        <w:textAlignment w:val="auto"/>
      </w:pPr>
    </w:p>
    <w:sectPr>
      <w:pgSz w:w="11906" w:h="16838"/>
      <w:pgMar w:top="2041" w:right="1417" w:bottom="175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0CCF3"/>
    <w:multiLevelType w:val="singleLevel"/>
    <w:tmpl w:val="8150CC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B2FD2"/>
    <w:rsid w:val="009D248F"/>
    <w:rsid w:val="19E141F5"/>
    <w:rsid w:val="1E06634F"/>
    <w:rsid w:val="1F7DF7F5"/>
    <w:rsid w:val="23114793"/>
    <w:rsid w:val="42FB2FD2"/>
    <w:rsid w:val="44C47D79"/>
    <w:rsid w:val="4DD80E25"/>
    <w:rsid w:val="5A0709C0"/>
    <w:rsid w:val="5E0302CC"/>
    <w:rsid w:val="5F8A6E4E"/>
    <w:rsid w:val="676B283C"/>
    <w:rsid w:val="DBED6E18"/>
    <w:rsid w:val="F3F356B6"/>
    <w:rsid w:val="F5F509E7"/>
    <w:rsid w:val="FAD7E76C"/>
    <w:rsid w:val="FDEAE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839</Words>
  <Characters>915</Characters>
  <Lines>0</Lines>
  <Paragraphs>0</Paragraphs>
  <TotalTime>5</TotalTime>
  <ScaleCrop>false</ScaleCrop>
  <LinksUpToDate>false</LinksUpToDate>
  <CharactersWithSpaces>917</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2025-10-17T09:30:00Z</dcterms:created>
  <dc:creator>LL</dc:creator>
  <cp:lastModifiedBy>xjkp</cp:lastModifiedBy>
  <dcterms:modified xsi:type="dcterms:W3CDTF">2025-10-17T18:06:31Z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E35472006B784B67BCD6372E7602DF86_13</vt:lpwstr>
  </property>
  <property fmtid="{D5CDD505-2E9C-101B-9397-08002B2CF9AE}" pid="4" name="KSOTemplateDocerSaveRecord">
    <vt:lpwstr>eyJoZGlkIjoiNGEzZGUyMjU5ODEzMTdlYTQzM2YxYTI4ZTZkNWM2ZTAiLCJ1c2VySWQiOiI0NDI2OTk2OTcifQ==</vt:lpwstr>
  </property>
</Properties>
</file>