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eastAsia="zh-CN"/>
        </w:rPr>
        <w:t>202</w:t>
      </w:r>
      <w:r>
        <w:rPr>
          <w:rFonts w:hint="eastAsia" w:ascii="方正小标宋简体" w:hAnsi="方正小标宋简体" w:eastAsia="方正小标宋简体" w:cs="方正小标宋简体"/>
          <w:color w:val="auto"/>
          <w:sz w:val="40"/>
          <w:szCs w:val="40"/>
          <w:lang w:val="en-US" w:eastAsia="zh-CN"/>
        </w:rPr>
        <w:t>6</w:t>
      </w:r>
      <w:r>
        <w:rPr>
          <w:rFonts w:hint="eastAsia" w:ascii="方正小标宋简体" w:hAnsi="方正小标宋简体" w:eastAsia="方正小标宋简体" w:cs="方正小标宋简体"/>
          <w:color w:val="auto"/>
          <w:sz w:val="40"/>
          <w:szCs w:val="40"/>
          <w:lang w:eastAsia="zh-CN"/>
        </w:rPr>
        <w:t>年</w:t>
      </w:r>
      <w:r>
        <w:rPr>
          <w:rFonts w:hint="eastAsia" w:ascii="方正小标宋简体" w:hAnsi="方正小标宋简体" w:eastAsia="方正小标宋简体" w:cs="方正小标宋简体"/>
          <w:color w:val="auto"/>
          <w:sz w:val="40"/>
          <w:szCs w:val="40"/>
          <w:lang w:val="en-US" w:eastAsia="zh-CN"/>
        </w:rPr>
        <w:t>湖南</w:t>
      </w:r>
      <w:r>
        <w:rPr>
          <w:rFonts w:hint="eastAsia" w:ascii="方正小标宋简体" w:hAnsi="方正小标宋简体" w:eastAsia="方正小标宋简体" w:cs="方正小标宋简体"/>
          <w:color w:val="auto"/>
          <w:sz w:val="40"/>
          <w:szCs w:val="40"/>
          <w:lang w:eastAsia="zh-CN"/>
        </w:rPr>
        <w:t>省商务厅出访</w:t>
      </w:r>
      <w:r>
        <w:rPr>
          <w:rFonts w:hint="eastAsia" w:ascii="方正小标宋简体" w:hAnsi="方正小标宋简体" w:eastAsia="方正小标宋简体" w:cs="方正小标宋简体"/>
          <w:color w:val="auto"/>
          <w:sz w:val="40"/>
          <w:szCs w:val="40"/>
          <w:lang w:val="en-US" w:eastAsia="zh-CN"/>
        </w:rPr>
        <w:t>柬埔寨、孟加拉国</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eastAsia="zh-CN"/>
        </w:rPr>
        <w:t>委托服务项目竞争比选</w:t>
      </w:r>
      <w:r>
        <w:rPr>
          <w:rFonts w:hint="default" w:ascii="Times New Roman" w:hAnsi="Times New Roman" w:eastAsia="方正小标宋简体" w:cs="Times New Roman"/>
          <w:color w:val="auto"/>
          <w:sz w:val="44"/>
          <w:szCs w:val="44"/>
          <w:lang w:eastAsia="zh-CN"/>
        </w:rPr>
        <w:t>磋商文件</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val="en-US" w:eastAsia="zh-CN"/>
        </w:rPr>
        <w:t>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湖南</w:t>
      </w:r>
      <w:r>
        <w:rPr>
          <w:rFonts w:hint="eastAsia" w:ascii="仿宋_GB2312" w:hAnsi="仿宋_GB2312" w:eastAsia="仿宋_GB2312" w:cs="仿宋_GB2312"/>
          <w:color w:val="auto"/>
          <w:sz w:val="32"/>
          <w:szCs w:val="32"/>
        </w:rPr>
        <w:t>省商务厅出访柬埔寨、孟加拉国委托服务项目现采用发布公告方式，公开邀请符合资格条件的供应商参与竞争比选采购活动。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22"/>
          <w:lang w:eastAsia="zh-CN"/>
        </w:rPr>
      </w:pPr>
      <w:r>
        <w:rPr>
          <w:rFonts w:hint="default" w:ascii="Times New Roman" w:hAnsi="Times New Roman" w:eastAsia="黑体" w:cs="Times New Roman"/>
          <w:color w:val="auto"/>
          <w:sz w:val="32"/>
          <w:szCs w:val="22"/>
          <w:lang w:eastAsia="zh-CN"/>
        </w:rPr>
        <w:t>一、项目概况</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1.项目名称</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湖南</w:t>
      </w:r>
      <w:r>
        <w:rPr>
          <w:rFonts w:hint="default" w:ascii="Times New Roman" w:hAnsi="Times New Roman" w:eastAsia="仿宋_GB2312" w:cs="Times New Roman"/>
          <w:b w:val="0"/>
          <w:bCs/>
          <w:color w:val="auto"/>
          <w:sz w:val="32"/>
          <w:szCs w:val="32"/>
          <w:lang w:val="en-US" w:eastAsia="zh-CN"/>
        </w:rPr>
        <w:t>省商务厅出访</w:t>
      </w:r>
      <w:r>
        <w:rPr>
          <w:rFonts w:hint="eastAsia" w:ascii="仿宋_GB2312" w:hAnsi="仿宋_GB2312" w:eastAsia="仿宋_GB2312" w:cs="仿宋_GB2312"/>
          <w:color w:val="auto"/>
          <w:sz w:val="32"/>
          <w:szCs w:val="32"/>
        </w:rPr>
        <w:t>柬埔寨、孟加拉国</w:t>
      </w:r>
      <w:r>
        <w:rPr>
          <w:rFonts w:hint="default" w:ascii="Times New Roman" w:hAnsi="Times New Roman" w:eastAsia="仿宋_GB2312" w:cs="Times New Roman"/>
          <w:b w:val="0"/>
          <w:bCs/>
          <w:color w:val="auto"/>
          <w:sz w:val="32"/>
          <w:szCs w:val="32"/>
          <w:lang w:val="en-US" w:eastAsia="zh-CN"/>
        </w:rPr>
        <w:t>委托服务项目</w:t>
      </w:r>
      <w:r>
        <w:rPr>
          <w:rFonts w:hint="eastAsia" w:ascii="Times New Roman" w:hAnsi="Times New Roman" w:eastAsia="仿宋_GB2312" w:cs="Times New Roman"/>
          <w:b w:val="0"/>
          <w:bCs/>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2.预算金额</w:t>
      </w:r>
      <w:r>
        <w:rPr>
          <w:rFonts w:hint="eastAsia" w:ascii="Times New Roman" w:hAnsi="Times New Roman" w:eastAsia="仿宋_GB2312" w:cs="Times New Roman"/>
          <w:b/>
          <w:bCs/>
          <w:color w:val="auto"/>
          <w:sz w:val="32"/>
          <w:szCs w:val="32"/>
          <w:lang w:val="en-US" w:eastAsia="zh-CN"/>
        </w:rPr>
        <w:t>：</w:t>
      </w:r>
      <w:r>
        <w:rPr>
          <w:rFonts w:hint="eastAsia" w:eastAsia="仿宋_GB2312" w:cs="Times New Roman"/>
          <w:b w:val="0"/>
          <w:bCs w:val="0"/>
          <w:color w:val="auto"/>
          <w:kern w:val="2"/>
          <w:sz w:val="32"/>
          <w:szCs w:val="32"/>
          <w:highlight w:val="none"/>
          <w:lang w:val="en-US" w:eastAsia="zh-CN" w:bidi="ar-SA"/>
        </w:rPr>
        <w:t>7.7万</w:t>
      </w:r>
      <w:r>
        <w:rPr>
          <w:rFonts w:hint="default" w:ascii="Times New Roman" w:hAnsi="Times New Roman" w:eastAsia="仿宋_GB2312" w:cs="Times New Roman"/>
          <w:color w:val="auto"/>
          <w:sz w:val="32"/>
          <w:szCs w:val="32"/>
          <w:lang w:val="en-US" w:eastAsia="zh-CN"/>
        </w:rPr>
        <w:t>元，主要为我厅出访</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人</w:t>
      </w:r>
      <w:r>
        <w:rPr>
          <w:rFonts w:hint="eastAsia" w:eastAsia="仿宋_GB2312" w:cs="Times New Roman"/>
          <w:color w:val="auto"/>
          <w:sz w:val="32"/>
          <w:szCs w:val="32"/>
          <w:lang w:val="en-US" w:eastAsia="zh-CN"/>
        </w:rPr>
        <w:t>（1名厅级、1名处级）</w:t>
      </w:r>
      <w:r>
        <w:rPr>
          <w:rFonts w:hint="default" w:ascii="Times New Roman" w:hAnsi="Times New Roman" w:eastAsia="仿宋_GB2312" w:cs="Times New Roman"/>
          <w:color w:val="auto"/>
          <w:sz w:val="32"/>
          <w:szCs w:val="32"/>
          <w:lang w:val="en-US" w:eastAsia="zh-CN"/>
        </w:rPr>
        <w:t>的境外住宿费、伙食费、公杂费的统筹使用，境外地接服务费用、境外城市间交通费、境外公务活动翻译服务费，出访手续代办服务费、</w:t>
      </w:r>
      <w:r>
        <w:rPr>
          <w:rFonts w:hint="eastAsia" w:ascii="Times New Roman" w:hAnsi="Times New Roman" w:eastAsia="仿宋_GB2312" w:cs="Times New Roman"/>
          <w:color w:val="auto"/>
          <w:sz w:val="32"/>
          <w:szCs w:val="32"/>
          <w:lang w:val="en-US" w:eastAsia="zh-CN"/>
        </w:rPr>
        <w:t>签证、</w:t>
      </w:r>
      <w:r>
        <w:rPr>
          <w:rFonts w:hint="default" w:ascii="Times New Roman" w:hAnsi="Times New Roman" w:eastAsia="仿宋_GB2312" w:cs="Times New Roman"/>
          <w:color w:val="auto"/>
          <w:sz w:val="32"/>
          <w:szCs w:val="32"/>
          <w:lang w:val="en-US" w:eastAsia="zh-CN"/>
        </w:rPr>
        <w:t>境外人身财产保险费用等有关费用。美元汇率按</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7</w:t>
      </w:r>
      <w:r>
        <w:rPr>
          <w:rFonts w:hint="eastAsia"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en-US" w:eastAsia="zh-CN"/>
        </w:rPr>
        <w:t>计算，以实际兑换汇率为准。</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3.最高限价</w:t>
      </w:r>
      <w:r>
        <w:rPr>
          <w:rFonts w:hint="eastAsia" w:ascii="Times New Roman" w:hAnsi="Times New Roman" w:eastAsia="仿宋_GB2312" w:cs="Times New Roman"/>
          <w:b/>
          <w:bCs/>
          <w:color w:val="auto"/>
          <w:sz w:val="32"/>
          <w:szCs w:val="32"/>
          <w:lang w:val="en-US" w:eastAsia="zh-CN"/>
        </w:rPr>
        <w:t>：</w:t>
      </w:r>
      <w:r>
        <w:rPr>
          <w:rFonts w:hint="eastAsia" w:eastAsia="仿宋_GB2312" w:cs="Times New Roman"/>
          <w:b w:val="0"/>
          <w:bCs w:val="0"/>
          <w:color w:val="auto"/>
          <w:kern w:val="2"/>
          <w:sz w:val="32"/>
          <w:szCs w:val="32"/>
          <w:highlight w:val="none"/>
          <w:lang w:val="en-US" w:eastAsia="zh-CN" w:bidi="ar-SA"/>
        </w:rPr>
        <w:t>7.7万</w:t>
      </w:r>
      <w:r>
        <w:rPr>
          <w:rFonts w:hint="default" w:ascii="Times New Roman" w:hAnsi="Times New Roman" w:eastAsia="仿宋_GB2312" w:cs="Times New Roman"/>
          <w:color w:val="auto"/>
          <w:sz w:val="32"/>
          <w:szCs w:val="32"/>
          <w:lang w:val="en-US" w:eastAsia="zh-CN"/>
        </w:rPr>
        <w:t>元（投标报价不能超过最高限价，否则视为无效投标）</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4.采购形式</w:t>
      </w:r>
      <w:r>
        <w:rPr>
          <w:rFonts w:hint="eastAsia" w:ascii="Times New Roman" w:hAnsi="Times New Roman" w:eastAsia="仿宋_GB2312" w:cs="Times New Roman"/>
          <w:b/>
          <w:bCs/>
          <w:color w:val="auto"/>
          <w:sz w:val="32"/>
          <w:szCs w:val="32"/>
          <w:lang w:val="en-US" w:eastAsia="zh-CN"/>
        </w:rPr>
        <w:t>：</w:t>
      </w:r>
      <w:r>
        <w:rPr>
          <w:rFonts w:hint="eastAsia" w:ascii="Times New Roman" w:hAnsi="Times New Roman" w:eastAsia="仿宋_GB2312" w:cs="Times New Roman"/>
          <w:color w:val="auto"/>
          <w:sz w:val="32"/>
          <w:szCs w:val="32"/>
          <w:lang w:val="en-US" w:eastAsia="zh-CN"/>
        </w:rPr>
        <w:t>竞争性比选。</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5.定标方式</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color w:val="auto"/>
          <w:sz w:val="32"/>
          <w:szCs w:val="32"/>
          <w:lang w:val="en-US" w:eastAsia="zh-CN"/>
        </w:rPr>
        <w:t>综合评分（评分细则见附件）</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6.服务周期</w:t>
      </w:r>
      <w:r>
        <w:rPr>
          <w:rFonts w:hint="eastAsia" w:ascii="Times New Roman" w:hAnsi="Times New Roman" w:eastAsia="仿宋_GB2312" w:cs="Times New Roman"/>
          <w:b/>
          <w:bCs/>
          <w:color w:val="auto"/>
          <w:sz w:val="32"/>
          <w:szCs w:val="32"/>
          <w:lang w:val="en-US" w:eastAsia="zh-CN"/>
        </w:rPr>
        <w:t>：</w:t>
      </w:r>
      <w:r>
        <w:rPr>
          <w:rFonts w:hint="eastAsia" w:ascii="Times New Roman" w:hAnsi="Times New Roman" w:eastAsia="仿宋_GB2312" w:cs="Times New Roman"/>
          <w:color w:val="auto"/>
          <w:sz w:val="32"/>
          <w:szCs w:val="32"/>
          <w:lang w:val="en-US" w:eastAsia="zh-CN"/>
        </w:rPr>
        <w:t>双方签订合同日起至项目服务完成、验收合格且全部出访手续及财务结算办结之日止。预计服务周期约为</w:t>
      </w:r>
      <w:r>
        <w:rPr>
          <w:rFonts w:hint="eastAsia"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val="en-US" w:eastAsia="zh-CN"/>
        </w:rPr>
        <w:t>个月，具体以实际执行为准。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22"/>
          <w:lang w:eastAsia="zh-CN"/>
        </w:rPr>
      </w:pPr>
      <w:r>
        <w:rPr>
          <w:rFonts w:hint="default" w:ascii="Times New Roman" w:hAnsi="Times New Roman" w:eastAsia="黑体" w:cs="Times New Roman"/>
          <w:color w:val="auto"/>
          <w:sz w:val="32"/>
          <w:szCs w:val="22"/>
          <w:lang w:eastAsia="zh-CN"/>
        </w:rPr>
        <w:t>二、出访任务</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湖南省商务厅此次出访柬埔寨、孟加拉国主要是深化我省与两国在经贸、农业、标准等领域的合作，推动湖南工程机械及再制造设备走出去，推介湖南自贸试验区</w:t>
      </w:r>
      <w:r>
        <w:rPr>
          <w:rFonts w:hint="eastAsia" w:eastAsia="仿宋_GB2312" w:cs="Times New Roman"/>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22"/>
          <w:lang w:eastAsia="zh-CN"/>
        </w:rPr>
      </w:pPr>
      <w:r>
        <w:rPr>
          <w:rFonts w:hint="eastAsia" w:eastAsia="黑体" w:cs="Times New Roman"/>
          <w:color w:val="auto"/>
          <w:sz w:val="32"/>
          <w:szCs w:val="22"/>
          <w:lang w:eastAsia="zh-CN"/>
        </w:rPr>
        <w:t>三</w:t>
      </w:r>
      <w:r>
        <w:rPr>
          <w:rFonts w:hint="default" w:ascii="Times New Roman" w:hAnsi="Times New Roman" w:eastAsia="黑体" w:cs="Times New Roman"/>
          <w:color w:val="auto"/>
          <w:sz w:val="32"/>
          <w:szCs w:val="22"/>
          <w:lang w:eastAsia="zh-CN"/>
        </w:rPr>
        <w:t>、服务需求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1.协助收集出访团组人员相关信息，按照外事部门要求办理出境审批、</w:t>
      </w:r>
      <w:r>
        <w:rPr>
          <w:rFonts w:hint="eastAsia" w:ascii="Times New Roman" w:hAnsi="Times New Roman" w:eastAsia="仿宋_GB2312" w:cs="Times New Roman"/>
          <w:color w:val="auto"/>
          <w:sz w:val="32"/>
          <w:szCs w:val="32"/>
          <w:lang w:val="en-US" w:eastAsia="zh-CN"/>
        </w:rPr>
        <w:t>护照、签证</w:t>
      </w:r>
      <w:r>
        <w:rPr>
          <w:rFonts w:hint="default" w:ascii="Times New Roman" w:hAnsi="Times New Roman" w:eastAsia="仿宋_GB2312" w:cs="Times New Roman"/>
          <w:color w:val="auto"/>
          <w:sz w:val="32"/>
          <w:szCs w:val="32"/>
          <w:lang w:val="en-US" w:eastAsia="zh-CN"/>
        </w:rPr>
        <w:t>等出访相关事项，编制出访手册。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2.根据出访任务，协助与境外机构或单位做好沟通协调工作，</w:t>
      </w:r>
      <w:r>
        <w:rPr>
          <w:rFonts w:hint="eastAsia" w:ascii="Times New Roman" w:hAnsi="Times New Roman" w:eastAsia="仿宋_GB2312" w:cs="Times New Roman"/>
          <w:color w:val="auto"/>
          <w:sz w:val="32"/>
          <w:szCs w:val="32"/>
          <w:lang w:val="en-US" w:eastAsia="zh-CN"/>
        </w:rPr>
        <w:t>协助</w:t>
      </w:r>
      <w:r>
        <w:rPr>
          <w:rFonts w:hint="default" w:ascii="Times New Roman" w:hAnsi="Times New Roman" w:eastAsia="仿宋_GB2312" w:cs="Times New Roman"/>
          <w:color w:val="auto"/>
          <w:sz w:val="32"/>
          <w:szCs w:val="32"/>
          <w:lang w:val="en-US" w:eastAsia="zh-CN"/>
        </w:rPr>
        <w:t>完成境外邀请函、拜访函、对接需求及有关企业背景材料双向传递收发工作等，并根据对接情况制定出访具体行程安排，明确具体活动时间、地点、联络员、活动议程和参加人员等事项。配合收集和准备出访相关材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3.根据出访日程安排，协助境外公务行程衔接，提前预订车（船、机）票、酒店、活动会议室等，做好出访人员食、住、行等后勤保障工作和出访期间的接待、翻译等安排。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4.出访结束后，协助做好证件归还、经费结算等收尾工作。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default" w:ascii="Times New Roman" w:hAnsi="Times New Roman" w:cs="Times New Roman"/>
          <w:i w:val="0"/>
          <w:caps w:val="0"/>
          <w:color w:val="auto"/>
          <w:spacing w:val="0"/>
          <w:sz w:val="24"/>
          <w:szCs w:val="24"/>
        </w:rPr>
      </w:pPr>
      <w:r>
        <w:rPr>
          <w:rFonts w:hint="eastAsia" w:ascii="黑体" w:hAnsi="宋体" w:eastAsia="黑体" w:cs="黑体"/>
          <w:i w:val="0"/>
          <w:caps w:val="0"/>
          <w:color w:val="auto"/>
          <w:spacing w:val="0"/>
          <w:kern w:val="0"/>
          <w:sz w:val="32"/>
          <w:szCs w:val="32"/>
          <w:shd w:val="clear" w:color="auto" w:fill="FFFFFF"/>
          <w:lang w:val="en-US" w:eastAsia="zh-CN" w:bidi="ar"/>
        </w:rPr>
        <w:t>四、服务要求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default" w:ascii="Times New Roman" w:hAnsi="Times New Roman" w:cs="Times New Roman"/>
          <w:i w:val="0"/>
          <w:caps w:val="0"/>
          <w:color w:val="auto"/>
          <w:spacing w:val="0"/>
          <w:sz w:val="24"/>
          <w:szCs w:val="24"/>
        </w:rPr>
      </w:pPr>
      <w:r>
        <w:rPr>
          <w:rFonts w:hint="default" w:ascii="Times New Roman" w:hAnsi="Times New Roman" w:cs="Times New Roman"/>
          <w:i w:val="0"/>
          <w:caps w:val="0"/>
          <w:color w:val="auto"/>
          <w:spacing w:val="0"/>
          <w:kern w:val="0"/>
          <w:sz w:val="32"/>
          <w:szCs w:val="32"/>
          <w:shd w:val="clear" w:color="auto" w:fill="FFFFFF"/>
          <w:lang w:val="en-US" w:eastAsia="zh-CN" w:bidi="ar"/>
        </w:rPr>
        <w:t>1.</w:t>
      </w:r>
      <w:r>
        <w:rPr>
          <w:rFonts w:ascii="仿宋_GB2312" w:hAnsi="Times New Roman" w:eastAsia="仿宋_GB2312" w:cs="仿宋_GB2312"/>
          <w:i w:val="0"/>
          <w:caps w:val="0"/>
          <w:color w:val="auto"/>
          <w:spacing w:val="0"/>
          <w:kern w:val="0"/>
          <w:sz w:val="32"/>
          <w:szCs w:val="32"/>
          <w:shd w:val="clear" w:color="auto" w:fill="FFFFFF"/>
          <w:lang w:val="en-US" w:eastAsia="zh-CN" w:bidi="ar"/>
        </w:rPr>
        <w:t>对出访有关外事规定、纪律和最新要求熟悉了解，服务经验丰富，能按采购人出访要求制定科学合理的出访方案和日程安排。</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default" w:ascii="Times New Roman" w:hAnsi="Times New Roman" w:cs="Times New Roman"/>
          <w:i w:val="0"/>
          <w:caps w:val="0"/>
          <w:color w:val="auto"/>
          <w:spacing w:val="0"/>
          <w:sz w:val="24"/>
          <w:szCs w:val="24"/>
        </w:rPr>
      </w:pPr>
      <w:r>
        <w:rPr>
          <w:rFonts w:hint="default" w:ascii="Times New Roman" w:hAnsi="Times New Roman" w:cs="Times New Roman"/>
          <w:i w:val="0"/>
          <w:caps w:val="0"/>
          <w:color w:val="auto"/>
          <w:spacing w:val="0"/>
          <w:kern w:val="0"/>
          <w:sz w:val="32"/>
          <w:szCs w:val="32"/>
          <w:shd w:val="clear" w:color="auto" w:fill="FFFFFF"/>
          <w:lang w:val="en-US" w:eastAsia="zh-CN" w:bidi="ar"/>
        </w:rPr>
        <w:t>2.</w:t>
      </w:r>
      <w:r>
        <w:rPr>
          <w:rFonts w:hint="eastAsia" w:ascii="仿宋_GB2312" w:hAnsi="Times New Roman" w:eastAsia="仿宋_GB2312" w:cs="仿宋_GB2312"/>
          <w:i w:val="0"/>
          <w:caps w:val="0"/>
          <w:color w:val="auto"/>
          <w:spacing w:val="0"/>
          <w:kern w:val="0"/>
          <w:sz w:val="32"/>
          <w:szCs w:val="32"/>
          <w:shd w:val="clear" w:color="auto" w:fill="FFFFFF"/>
          <w:lang w:val="en-US" w:eastAsia="zh-CN" w:bidi="ar"/>
        </w:rPr>
        <w:t>配备至少</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2</w:t>
      </w:r>
      <w:r>
        <w:rPr>
          <w:rFonts w:hint="eastAsia" w:ascii="仿宋_GB2312" w:hAnsi="Times New Roman" w:eastAsia="仿宋_GB2312" w:cs="仿宋_GB2312"/>
          <w:i w:val="0"/>
          <w:caps w:val="0"/>
          <w:color w:val="auto"/>
          <w:spacing w:val="0"/>
          <w:kern w:val="0"/>
          <w:sz w:val="32"/>
          <w:szCs w:val="32"/>
          <w:shd w:val="clear" w:color="auto" w:fill="FFFFFF"/>
          <w:lang w:val="en-US" w:eastAsia="zh-CN" w:bidi="ar"/>
        </w:rPr>
        <w:t>名熟悉各项出境流程、具备丰富境外服务经验的工作人员，做好因公审批、护照、签证、境外接待保障、活动组织、归国结算等全流程服务，确保出访活动准备充分，组织有力，服务热情到位。若工作人员不符合采购人要求，采购人有权要求替换工作人员。</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default" w:ascii="Times New Roman" w:hAnsi="Times New Roman" w:cs="Times New Roman"/>
          <w:i w:val="0"/>
          <w:caps w:val="0"/>
          <w:color w:val="auto"/>
          <w:spacing w:val="0"/>
          <w:sz w:val="24"/>
          <w:szCs w:val="24"/>
        </w:rPr>
      </w:pPr>
      <w:r>
        <w:rPr>
          <w:rFonts w:hint="default" w:ascii="Times New Roman" w:hAnsi="Times New Roman" w:cs="Times New Roman"/>
          <w:i w:val="0"/>
          <w:caps w:val="0"/>
          <w:color w:val="auto"/>
          <w:spacing w:val="0"/>
          <w:kern w:val="0"/>
          <w:sz w:val="32"/>
          <w:szCs w:val="32"/>
          <w:shd w:val="clear" w:color="auto" w:fill="FFFFFF"/>
          <w:lang w:val="en-US" w:eastAsia="zh-CN" w:bidi="ar"/>
        </w:rPr>
        <w:t>3.</w:t>
      </w:r>
      <w:r>
        <w:rPr>
          <w:rFonts w:hint="eastAsia" w:ascii="仿宋_GB2312" w:hAnsi="Times New Roman" w:eastAsia="仿宋_GB2312" w:cs="仿宋_GB2312"/>
          <w:i w:val="0"/>
          <w:caps w:val="0"/>
          <w:color w:val="auto"/>
          <w:spacing w:val="0"/>
          <w:kern w:val="0"/>
          <w:sz w:val="32"/>
          <w:szCs w:val="32"/>
          <w:shd w:val="clear" w:color="auto" w:fill="FFFFFF"/>
          <w:lang w:val="en-US" w:eastAsia="zh-CN" w:bidi="ar"/>
        </w:rPr>
        <w:t>在服务过程中服从采购人的工作安排，并对工作过程中获知的有关出访人员信息或企业商业秘密等进行严格保密，未经请允许不得私自泄漏，否则根据有关规定承担相关法律责任。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0" w:firstLineChars="200"/>
        <w:jc w:val="both"/>
        <w:rPr>
          <w:rFonts w:hint="default" w:ascii="Times New Roman" w:hAnsi="Times New Roman" w:cs="Times New Roman"/>
          <w:i w:val="0"/>
          <w:caps w:val="0"/>
          <w:color w:val="auto"/>
          <w:spacing w:val="0"/>
          <w:sz w:val="24"/>
          <w:szCs w:val="24"/>
        </w:rPr>
      </w:pPr>
      <w:r>
        <w:rPr>
          <w:rFonts w:hint="default" w:ascii="Times New Roman" w:hAnsi="Times New Roman" w:cs="Times New Roman"/>
          <w:i w:val="0"/>
          <w:caps w:val="0"/>
          <w:color w:val="auto"/>
          <w:spacing w:val="0"/>
          <w:kern w:val="0"/>
          <w:sz w:val="32"/>
          <w:szCs w:val="32"/>
          <w:shd w:val="clear" w:color="auto" w:fill="FFFFFF"/>
          <w:lang w:val="en-US" w:eastAsia="zh-CN" w:bidi="ar"/>
        </w:rPr>
        <w:t>4.</w:t>
      </w:r>
      <w:r>
        <w:rPr>
          <w:rFonts w:hint="eastAsia" w:ascii="仿宋_GB2312" w:hAnsi="Times New Roman" w:eastAsia="仿宋_GB2312" w:cs="仿宋_GB2312"/>
          <w:i w:val="0"/>
          <w:caps w:val="0"/>
          <w:color w:val="auto"/>
          <w:spacing w:val="0"/>
          <w:kern w:val="0"/>
          <w:sz w:val="32"/>
          <w:szCs w:val="32"/>
          <w:shd w:val="clear" w:color="auto" w:fill="FFFFFF"/>
          <w:lang w:val="en-US" w:eastAsia="zh-CN" w:bidi="ar"/>
        </w:rPr>
        <w:t>完成采购人交办的有关出访的其他工作任务。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Cs/>
          <w:color w:val="auto"/>
          <w:sz w:val="32"/>
          <w:szCs w:val="22"/>
        </w:rPr>
      </w:pPr>
      <w:r>
        <w:rPr>
          <w:rFonts w:hint="eastAsia" w:eastAsia="黑体" w:cs="Times New Roman"/>
          <w:bCs/>
          <w:color w:val="auto"/>
          <w:sz w:val="32"/>
          <w:szCs w:val="22"/>
          <w:lang w:eastAsia="zh-CN"/>
        </w:rPr>
        <w:t>五</w:t>
      </w:r>
      <w:r>
        <w:rPr>
          <w:rFonts w:hint="default" w:ascii="Times New Roman" w:hAnsi="Times New Roman" w:eastAsia="黑体" w:cs="Times New Roman"/>
          <w:bCs/>
          <w:color w:val="auto"/>
          <w:sz w:val="32"/>
          <w:szCs w:val="22"/>
          <w:lang w:eastAsia="zh-CN"/>
        </w:rPr>
        <w:t>、</w:t>
      </w:r>
      <w:r>
        <w:rPr>
          <w:rFonts w:hint="default" w:ascii="Times New Roman" w:hAnsi="Times New Roman" w:eastAsia="黑体" w:cs="Times New Roman"/>
          <w:bCs/>
          <w:color w:val="auto"/>
          <w:sz w:val="32"/>
          <w:szCs w:val="22"/>
        </w:rPr>
        <w:t>供应商资格要求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22"/>
        </w:rPr>
      </w:pPr>
      <w:r>
        <w:rPr>
          <w:rFonts w:hint="default" w:ascii="Times New Roman" w:hAnsi="Times New Roman" w:eastAsia="楷体_GB2312" w:cs="Times New Roman"/>
          <w:bCs/>
          <w:color w:val="auto"/>
          <w:sz w:val="32"/>
          <w:szCs w:val="22"/>
        </w:rPr>
        <w:t>（一）</w:t>
      </w:r>
      <w:r>
        <w:rPr>
          <w:rFonts w:hint="default" w:ascii="Times New Roman" w:hAnsi="Times New Roman" w:eastAsia="楷体_GB2312" w:cs="Times New Roman"/>
          <w:color w:val="auto"/>
          <w:sz w:val="32"/>
          <w:szCs w:val="22"/>
        </w:rPr>
        <w:t>基本资格条件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22"/>
          <w:lang w:eastAsia="zh-CN"/>
        </w:rPr>
      </w:pPr>
      <w:r>
        <w:rPr>
          <w:rFonts w:hint="default" w:ascii="Times New Roman" w:hAnsi="Times New Roman" w:eastAsia="仿宋_GB2312" w:cs="Times New Roman"/>
          <w:color w:val="auto"/>
          <w:sz w:val="32"/>
          <w:szCs w:val="22"/>
        </w:rPr>
        <w:t>1</w:t>
      </w:r>
      <w:r>
        <w:rPr>
          <w:rFonts w:hint="default" w:ascii="Times New Roman" w:hAnsi="Times New Roman" w:eastAsia="仿宋_GB2312" w:cs="Times New Roman"/>
          <w:color w:val="auto"/>
          <w:sz w:val="32"/>
          <w:szCs w:val="22"/>
          <w:lang w:val="en-US" w:eastAsia="zh-CN"/>
        </w:rPr>
        <w:t>.</w:t>
      </w:r>
      <w:r>
        <w:rPr>
          <w:rFonts w:hint="default" w:ascii="Times New Roman" w:hAnsi="Times New Roman" w:eastAsia="仿宋_GB2312" w:cs="Times New Roman"/>
          <w:color w:val="auto"/>
          <w:sz w:val="32"/>
          <w:szCs w:val="22"/>
        </w:rPr>
        <w:t>法人提交法定代表人身份证明原件或者法定代表人授权委托书原件并附法定代表人身份证明原件，自然人提交身份证复印件</w:t>
      </w:r>
      <w:r>
        <w:rPr>
          <w:rFonts w:hint="eastAsia" w:ascii="Times New Roman" w:hAnsi="Times New Roman" w:eastAsia="仿宋_GB2312" w:cs="Times New Roman"/>
          <w:color w:val="auto"/>
          <w:sz w:val="32"/>
          <w:szCs w:val="2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22"/>
          <w:lang w:eastAsia="zh-CN"/>
        </w:rPr>
      </w:pPr>
      <w:r>
        <w:rPr>
          <w:rFonts w:hint="default" w:ascii="Times New Roman" w:hAnsi="Times New Roman" w:eastAsia="仿宋_GB2312" w:cs="Times New Roman"/>
          <w:color w:val="auto"/>
          <w:sz w:val="32"/>
          <w:szCs w:val="22"/>
        </w:rPr>
        <w:t>2</w:t>
      </w:r>
      <w:r>
        <w:rPr>
          <w:rFonts w:hint="default" w:ascii="Times New Roman" w:hAnsi="Times New Roman" w:eastAsia="仿宋_GB2312" w:cs="Times New Roman"/>
          <w:color w:val="auto"/>
          <w:sz w:val="32"/>
          <w:szCs w:val="22"/>
          <w:lang w:val="en-US" w:eastAsia="zh-CN"/>
        </w:rPr>
        <w:t>.</w:t>
      </w:r>
      <w:r>
        <w:rPr>
          <w:rFonts w:hint="default" w:ascii="Times New Roman" w:hAnsi="Times New Roman" w:eastAsia="仿宋_GB2312" w:cs="Times New Roman"/>
          <w:color w:val="auto"/>
          <w:sz w:val="32"/>
          <w:szCs w:val="22"/>
        </w:rPr>
        <w:t>法人提交企业法人营业执照副本（或者法人登记证书）以及组织机构代码证副本复印件</w:t>
      </w:r>
      <w:r>
        <w:rPr>
          <w:rFonts w:hint="eastAsia" w:ascii="Times New Roman" w:hAnsi="Times New Roman" w:eastAsia="仿宋_GB2312" w:cs="Times New Roman"/>
          <w:color w:val="auto"/>
          <w:sz w:val="32"/>
          <w:szCs w:val="2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lang w:val="en-US" w:eastAsia="zh-CN"/>
        </w:rPr>
        <w:t>3.</w:t>
      </w:r>
      <w:r>
        <w:rPr>
          <w:rFonts w:hint="default" w:ascii="Times New Roman" w:hAnsi="Times New Roman" w:eastAsia="仿宋_GB2312" w:cs="Times New Roman"/>
          <w:color w:val="auto"/>
          <w:sz w:val="32"/>
          <w:szCs w:val="22"/>
        </w:rPr>
        <w:t>供应商参加此次采购活动前三年无重大违法行为声明（须加盖公章）。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lang w:val="en-US" w:eastAsia="zh-CN"/>
        </w:rPr>
        <w:t>4.</w:t>
      </w:r>
      <w:r>
        <w:rPr>
          <w:rFonts w:hint="default" w:ascii="Times New Roman" w:hAnsi="Times New Roman" w:eastAsia="仿宋_GB2312" w:cs="Times New Roman"/>
          <w:color w:val="auto"/>
          <w:sz w:val="32"/>
          <w:szCs w:val="22"/>
        </w:rPr>
        <w:t>其他说明：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（1）非法人组织需提供资格证明材料及其他说明。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2）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lang w:eastAsia="zh-CN"/>
        </w:rPr>
      </w:pPr>
      <w:r>
        <w:rPr>
          <w:rFonts w:hint="default" w:ascii="Times New Roman" w:hAnsi="Times New Roman" w:eastAsia="楷体_GB2312" w:cs="Times New Roman"/>
          <w:bCs/>
          <w:color w:val="auto"/>
          <w:sz w:val="32"/>
          <w:szCs w:val="22"/>
        </w:rPr>
        <w:t>（二）特定资格条件</w:t>
      </w:r>
      <w:r>
        <w:rPr>
          <w:rFonts w:hint="eastAsia" w:ascii="Times New Roman" w:hAnsi="Times New Roman" w:eastAsia="楷体_GB2312" w:cs="Times New Roman"/>
          <w:bCs/>
          <w:color w:val="auto"/>
          <w:sz w:val="32"/>
          <w:szCs w:val="22"/>
          <w:lang w:eastAsia="zh-CN"/>
        </w:rPr>
        <w:t>：</w:t>
      </w:r>
      <w:r>
        <w:rPr>
          <w:rFonts w:hint="default" w:ascii="Times New Roman" w:hAnsi="Times New Roman" w:eastAsia="仿宋_GB2312" w:cs="Times New Roman"/>
          <w:color w:val="auto"/>
          <w:sz w:val="32"/>
          <w:szCs w:val="22"/>
          <w:lang w:eastAsia="zh-CN"/>
        </w:rPr>
        <w:t>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Cs/>
          <w:color w:val="auto"/>
          <w:sz w:val="32"/>
          <w:szCs w:val="22"/>
        </w:rPr>
      </w:pPr>
      <w:r>
        <w:rPr>
          <w:rFonts w:hint="eastAsia" w:eastAsia="黑体" w:cs="Times New Roman"/>
          <w:bCs/>
          <w:color w:val="auto"/>
          <w:sz w:val="32"/>
          <w:szCs w:val="22"/>
          <w:lang w:eastAsia="zh-CN"/>
        </w:rPr>
        <w:t>六</w:t>
      </w:r>
      <w:r>
        <w:rPr>
          <w:rFonts w:hint="default" w:ascii="Times New Roman" w:hAnsi="Times New Roman" w:eastAsia="黑体" w:cs="Times New Roman"/>
          <w:bCs/>
          <w:color w:val="auto"/>
          <w:sz w:val="32"/>
          <w:szCs w:val="22"/>
        </w:rPr>
        <w:t>、响应文件递交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本项目不需报名，需要提交响应文件（以下资料统一装订并加盖公章，一式</w:t>
      </w:r>
      <w:r>
        <w:rPr>
          <w:rFonts w:hint="default" w:ascii="Times New Roman" w:hAnsi="Times New Roman" w:eastAsia="仿宋_GB2312" w:cs="Times New Roman"/>
          <w:color w:val="auto"/>
          <w:sz w:val="32"/>
          <w:szCs w:val="22"/>
          <w:lang w:eastAsia="zh-CN"/>
        </w:rPr>
        <w:t>三</w:t>
      </w:r>
      <w:r>
        <w:rPr>
          <w:rFonts w:hint="default" w:ascii="Times New Roman" w:hAnsi="Times New Roman" w:eastAsia="仿宋_GB2312" w:cs="Times New Roman"/>
          <w:color w:val="auto"/>
          <w:sz w:val="32"/>
          <w:szCs w:val="22"/>
        </w:rPr>
        <w:t>份，密封后提交）。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22"/>
        </w:rPr>
      </w:pPr>
      <w:r>
        <w:rPr>
          <w:rFonts w:hint="default" w:ascii="Times New Roman" w:hAnsi="Times New Roman" w:eastAsia="楷体_GB2312" w:cs="Times New Roman"/>
          <w:color w:val="auto"/>
          <w:sz w:val="32"/>
          <w:szCs w:val="22"/>
        </w:rPr>
        <w:t>（一）递交材料清单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1</w:t>
      </w:r>
      <w:r>
        <w:rPr>
          <w:rFonts w:hint="default" w:ascii="Times New Roman" w:hAnsi="Times New Roman" w:eastAsia="仿宋_GB2312" w:cs="Times New Roman"/>
          <w:color w:val="auto"/>
          <w:sz w:val="32"/>
          <w:szCs w:val="22"/>
          <w:lang w:eastAsia="zh-CN"/>
        </w:rPr>
        <w:t>.</w:t>
      </w:r>
      <w:r>
        <w:rPr>
          <w:rFonts w:hint="default" w:ascii="Times New Roman" w:hAnsi="Times New Roman" w:eastAsia="仿宋_GB2312" w:cs="Times New Roman"/>
          <w:color w:val="auto"/>
          <w:sz w:val="32"/>
          <w:szCs w:val="22"/>
        </w:rPr>
        <w:t>授权委托书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lang w:val="en-US" w:eastAsia="zh-CN"/>
        </w:rPr>
        <w:t>2</w:t>
      </w:r>
      <w:r>
        <w:rPr>
          <w:rFonts w:hint="default" w:ascii="Times New Roman" w:hAnsi="Times New Roman" w:eastAsia="仿宋_GB2312" w:cs="Times New Roman"/>
          <w:color w:val="auto"/>
          <w:sz w:val="32"/>
          <w:szCs w:val="22"/>
          <w:lang w:eastAsia="zh-CN"/>
        </w:rPr>
        <w:t>.</w:t>
      </w:r>
      <w:r>
        <w:rPr>
          <w:rFonts w:hint="default" w:ascii="Times New Roman" w:hAnsi="Times New Roman" w:eastAsia="仿宋_GB2312" w:cs="Times New Roman"/>
          <w:color w:val="auto"/>
          <w:sz w:val="32"/>
          <w:szCs w:val="22"/>
        </w:rPr>
        <w:t>基本资格条件中的复印件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lang w:val="en-US" w:eastAsia="zh-CN"/>
        </w:rPr>
        <w:t>3</w:t>
      </w:r>
      <w:r>
        <w:rPr>
          <w:rFonts w:hint="default" w:ascii="Times New Roman" w:hAnsi="Times New Roman" w:eastAsia="仿宋_GB2312" w:cs="Times New Roman"/>
          <w:color w:val="auto"/>
          <w:sz w:val="32"/>
          <w:szCs w:val="22"/>
          <w:lang w:eastAsia="zh-CN"/>
        </w:rPr>
        <w:t>.</w:t>
      </w:r>
      <w:r>
        <w:rPr>
          <w:rFonts w:hint="default" w:ascii="Times New Roman" w:hAnsi="Times New Roman" w:eastAsia="仿宋_GB2312" w:cs="Times New Roman"/>
          <w:color w:val="auto"/>
          <w:sz w:val="32"/>
          <w:szCs w:val="22"/>
        </w:rPr>
        <w:t>资质证明文件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lang w:eastAsia="zh-CN"/>
        </w:rPr>
      </w:pPr>
      <w:r>
        <w:rPr>
          <w:rFonts w:hint="default" w:ascii="Times New Roman" w:hAnsi="Times New Roman" w:eastAsia="仿宋_GB2312" w:cs="Times New Roman"/>
          <w:color w:val="auto"/>
          <w:sz w:val="32"/>
          <w:szCs w:val="22"/>
          <w:lang w:val="en-US" w:eastAsia="zh-CN"/>
        </w:rPr>
        <w:t>4</w:t>
      </w:r>
      <w:r>
        <w:rPr>
          <w:rFonts w:hint="default" w:ascii="Times New Roman" w:hAnsi="Times New Roman" w:eastAsia="仿宋_GB2312" w:cs="Times New Roman"/>
          <w:color w:val="auto"/>
          <w:sz w:val="32"/>
          <w:szCs w:val="22"/>
          <w:lang w:eastAsia="zh-CN"/>
        </w:rPr>
        <w:t>.服务</w:t>
      </w:r>
      <w:r>
        <w:rPr>
          <w:rFonts w:hint="default" w:ascii="Times New Roman" w:hAnsi="Times New Roman" w:eastAsia="仿宋_GB2312" w:cs="Times New Roman"/>
          <w:color w:val="auto"/>
          <w:sz w:val="32"/>
          <w:szCs w:val="22"/>
        </w:rPr>
        <w:t>方案</w:t>
      </w:r>
      <w:r>
        <w:rPr>
          <w:rFonts w:hint="default" w:ascii="Times New Roman" w:hAnsi="Times New Roman" w:eastAsia="仿宋_GB2312" w:cs="Times New Roman"/>
          <w:color w:val="auto"/>
          <w:sz w:val="32"/>
          <w:szCs w:val="22"/>
          <w:lang w:eastAsia="zh-CN"/>
        </w:rPr>
        <w:t>及报价文件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lang w:eastAsia="zh-CN"/>
        </w:rPr>
      </w:pPr>
      <w:r>
        <w:rPr>
          <w:rFonts w:hint="default" w:ascii="Times New Roman" w:hAnsi="Times New Roman" w:eastAsia="楷体_GB2312" w:cs="Times New Roman"/>
          <w:color w:val="auto"/>
          <w:sz w:val="32"/>
          <w:szCs w:val="22"/>
        </w:rPr>
        <w:t>（二）响应文件递交截止时间</w:t>
      </w:r>
      <w:r>
        <w:rPr>
          <w:rFonts w:hint="default" w:ascii="Times New Roman" w:hAnsi="Times New Roman" w:eastAsia="楷体_GB2312" w:cs="Times New Roman"/>
          <w:color w:val="auto"/>
          <w:sz w:val="32"/>
          <w:szCs w:val="22"/>
          <w:lang w:eastAsia="zh-CN"/>
        </w:rPr>
        <w:t>：</w:t>
      </w:r>
      <w:r>
        <w:rPr>
          <w:rFonts w:hint="default" w:ascii="Times New Roman" w:hAnsi="Times New Roman" w:eastAsia="仿宋_GB2312" w:cs="Times New Roman"/>
          <w:color w:val="auto"/>
          <w:sz w:val="32"/>
          <w:szCs w:val="22"/>
          <w:lang w:val="en-US" w:eastAsia="zh-CN"/>
        </w:rPr>
        <w:t>202</w:t>
      </w:r>
      <w:r>
        <w:rPr>
          <w:rFonts w:hint="eastAsia" w:ascii="Times New Roman" w:hAnsi="Times New Roman" w:eastAsia="仿宋_GB2312" w:cs="Times New Roman"/>
          <w:color w:val="auto"/>
          <w:sz w:val="32"/>
          <w:szCs w:val="22"/>
          <w:lang w:val="en-US" w:eastAsia="zh-CN"/>
        </w:rPr>
        <w:t>6</w:t>
      </w:r>
      <w:bookmarkStart w:id="0" w:name="_GoBack"/>
      <w:bookmarkEnd w:id="0"/>
      <w:r>
        <w:rPr>
          <w:rFonts w:hint="default" w:ascii="Times New Roman" w:hAnsi="Times New Roman" w:eastAsia="仿宋_GB2312" w:cs="Times New Roman"/>
          <w:color w:val="auto"/>
          <w:sz w:val="32"/>
          <w:szCs w:val="22"/>
          <w:lang w:val="en-US" w:eastAsia="zh-CN"/>
        </w:rPr>
        <w:t>年</w:t>
      </w:r>
      <w:r>
        <w:rPr>
          <w:rFonts w:hint="eastAsia" w:ascii="Times New Roman" w:hAnsi="Times New Roman" w:eastAsia="仿宋_GB2312" w:cs="Times New Roman"/>
          <w:color w:val="auto"/>
          <w:sz w:val="32"/>
          <w:szCs w:val="22"/>
          <w:lang w:val="en-US" w:eastAsia="zh-CN"/>
        </w:rPr>
        <w:t>10</w:t>
      </w:r>
      <w:r>
        <w:rPr>
          <w:rFonts w:hint="default" w:ascii="Times New Roman" w:hAnsi="Times New Roman" w:eastAsia="仿宋_GB2312" w:cs="Times New Roman"/>
          <w:color w:val="auto"/>
          <w:sz w:val="32"/>
          <w:szCs w:val="22"/>
          <w:lang w:val="en-US" w:eastAsia="zh-CN"/>
        </w:rPr>
        <w:t>月</w:t>
      </w:r>
      <w:r>
        <w:rPr>
          <w:rFonts w:hint="default" w:ascii="Times New Roman" w:hAnsi="Times New Roman" w:eastAsia="仿宋_GB2312" w:cs="Times New Roman"/>
          <w:color w:val="auto"/>
          <w:sz w:val="32"/>
          <w:szCs w:val="22"/>
          <w:lang w:val="en" w:eastAsia="zh-CN"/>
        </w:rPr>
        <w:t>15</w:t>
      </w:r>
      <w:r>
        <w:rPr>
          <w:rFonts w:hint="default" w:ascii="Times New Roman" w:hAnsi="Times New Roman" w:eastAsia="仿宋_GB2312" w:cs="Times New Roman"/>
          <w:color w:val="auto"/>
          <w:sz w:val="32"/>
          <w:szCs w:val="22"/>
          <w:lang w:val="en-US" w:eastAsia="zh-CN"/>
        </w:rPr>
        <w:t>日1</w:t>
      </w:r>
      <w:r>
        <w:rPr>
          <w:rFonts w:hint="eastAsia" w:ascii="Times New Roman" w:hAnsi="Times New Roman" w:eastAsia="仿宋_GB2312" w:cs="Times New Roman"/>
          <w:color w:val="auto"/>
          <w:sz w:val="32"/>
          <w:szCs w:val="22"/>
          <w:lang w:val="en-US" w:eastAsia="zh-CN"/>
        </w:rPr>
        <w:t>6</w:t>
      </w:r>
      <w:r>
        <w:rPr>
          <w:rFonts w:hint="default" w:ascii="Times New Roman" w:hAnsi="Times New Roman" w:eastAsia="仿宋_GB2312" w:cs="Times New Roman"/>
          <w:color w:val="auto"/>
          <w:sz w:val="32"/>
          <w:szCs w:val="22"/>
          <w:lang w:val="en-US" w:eastAsia="zh-CN"/>
        </w:rPr>
        <w:t>时</w:t>
      </w:r>
      <w:r>
        <w:rPr>
          <w:rFonts w:hint="eastAsia" w:ascii="Times New Roman" w:hAnsi="Times New Roman" w:eastAsia="仿宋_GB2312" w:cs="Times New Roman"/>
          <w:color w:val="auto"/>
          <w:sz w:val="32"/>
          <w:szCs w:val="22"/>
          <w:lang w:val="en-US" w:eastAsia="zh-CN"/>
        </w:rPr>
        <w:t>0</w:t>
      </w:r>
      <w:r>
        <w:rPr>
          <w:rFonts w:hint="default" w:ascii="Times New Roman" w:hAnsi="Times New Roman" w:eastAsia="仿宋_GB2312" w:cs="Times New Roman"/>
          <w:color w:val="auto"/>
          <w:sz w:val="32"/>
          <w:szCs w:val="22"/>
          <w:lang w:val="en-US" w:eastAsia="zh-CN"/>
        </w:rPr>
        <w:t>0分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22"/>
          <w:highlight w:val="none"/>
        </w:rPr>
      </w:pPr>
      <w:r>
        <w:rPr>
          <w:rFonts w:hint="default" w:ascii="Times New Roman" w:hAnsi="Times New Roman" w:eastAsia="楷体_GB2312" w:cs="Times New Roman"/>
          <w:color w:val="auto"/>
          <w:sz w:val="32"/>
          <w:szCs w:val="22"/>
          <w:highlight w:val="none"/>
        </w:rPr>
        <w:t>（三）响应文件递交地点：</w:t>
      </w:r>
      <w:r>
        <w:rPr>
          <w:rFonts w:hint="default" w:ascii="Times New Roman" w:hAnsi="Times New Roman" w:eastAsia="仿宋_GB2312" w:cs="Times New Roman"/>
          <w:color w:val="auto"/>
          <w:sz w:val="32"/>
          <w:szCs w:val="22"/>
          <w:highlight w:val="none"/>
        </w:rPr>
        <w:t>湖南省长沙市芙蓉区五一大道98号省商务厅一号楼</w:t>
      </w:r>
      <w:r>
        <w:rPr>
          <w:rFonts w:hint="eastAsia" w:ascii="Times New Roman" w:hAnsi="Times New Roman" w:eastAsia="仿宋_GB2312" w:cs="Times New Roman"/>
          <w:color w:val="auto"/>
          <w:sz w:val="32"/>
          <w:szCs w:val="22"/>
          <w:highlight w:val="none"/>
          <w:lang w:val="en-US" w:eastAsia="zh-CN"/>
        </w:rPr>
        <w:t>605</w:t>
      </w:r>
      <w:r>
        <w:rPr>
          <w:rFonts w:hint="default" w:ascii="Times New Roman" w:hAnsi="Times New Roman" w:eastAsia="仿宋_GB2312" w:cs="Times New Roman"/>
          <w:color w:val="auto"/>
          <w:sz w:val="32"/>
          <w:szCs w:val="22"/>
          <w:highlight w:val="none"/>
        </w:rPr>
        <w:t>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Cs/>
          <w:color w:val="auto"/>
          <w:sz w:val="32"/>
          <w:szCs w:val="22"/>
        </w:rPr>
      </w:pPr>
      <w:r>
        <w:rPr>
          <w:rFonts w:hint="eastAsia" w:eastAsia="黑体" w:cs="Times New Roman"/>
          <w:bCs/>
          <w:color w:val="auto"/>
          <w:sz w:val="32"/>
          <w:szCs w:val="22"/>
          <w:lang w:eastAsia="zh-CN"/>
        </w:rPr>
        <w:t>七</w:t>
      </w:r>
      <w:r>
        <w:rPr>
          <w:rFonts w:hint="default" w:ascii="Times New Roman" w:hAnsi="Times New Roman" w:eastAsia="黑体" w:cs="Times New Roman"/>
          <w:bCs/>
          <w:color w:val="auto"/>
          <w:sz w:val="32"/>
          <w:szCs w:val="22"/>
        </w:rPr>
        <w:t>、联系方式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采购人名称：湖南省商务厅</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地址：长沙市芙蓉区五一大道98号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lang w:val="en-US" w:eastAsia="zh-CN"/>
        </w:rPr>
      </w:pPr>
      <w:r>
        <w:rPr>
          <w:rFonts w:hint="default" w:ascii="Times New Roman" w:hAnsi="Times New Roman" w:eastAsia="仿宋_GB2312" w:cs="Times New Roman"/>
          <w:color w:val="auto"/>
          <w:sz w:val="32"/>
          <w:szCs w:val="22"/>
          <w:highlight w:val="none"/>
        </w:rPr>
        <w:t>联系人及联系方式：</w:t>
      </w:r>
      <w:r>
        <w:rPr>
          <w:rFonts w:hint="eastAsia" w:ascii="Times New Roman" w:hAnsi="Times New Roman" w:eastAsia="仿宋_GB2312" w:cs="Times New Roman"/>
          <w:color w:val="auto"/>
          <w:sz w:val="32"/>
          <w:szCs w:val="22"/>
          <w:highlight w:val="none"/>
          <w:lang w:val="en-US" w:eastAsia="zh-CN"/>
        </w:rPr>
        <w:t>周女士，0731—85281219</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2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22"/>
          <w:highlight w:val="none"/>
          <w:lang w:val="en-US" w:eastAsia="zh-CN"/>
        </w:rPr>
      </w:pPr>
      <w:r>
        <w:rPr>
          <w:rFonts w:hint="eastAsia" w:ascii="Times New Roman" w:hAnsi="Times New Roman" w:eastAsia="仿宋_GB2312" w:cs="Times New Roman"/>
          <w:color w:val="auto"/>
          <w:sz w:val="32"/>
          <w:szCs w:val="22"/>
          <w:highlight w:val="none"/>
          <w:lang w:val="en-US" w:eastAsia="zh-CN"/>
        </w:rPr>
        <w:t>附件：评审因素和标准</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auto"/>
          <w:sz w:val="32"/>
          <w:szCs w:val="22"/>
          <w:lang w:val="en-US" w:eastAsia="zh-CN"/>
        </w:rPr>
      </w:pPr>
    </w:p>
    <w:p>
      <w:pPr>
        <w:pStyle w:val="2"/>
        <w:rPr>
          <w:rFonts w:hint="eastAsia" w:ascii="黑体" w:hAnsi="黑体" w:eastAsia="黑体" w:cs="黑体"/>
          <w:color w:val="auto"/>
          <w:sz w:val="32"/>
          <w:szCs w:val="22"/>
          <w:lang w:val="en-US" w:eastAsia="zh-CN"/>
        </w:rPr>
      </w:pPr>
    </w:p>
    <w:p>
      <w:pPr>
        <w:rPr>
          <w:rFonts w:hint="eastAsia" w:ascii="黑体" w:hAnsi="黑体" w:eastAsia="黑体" w:cs="黑体"/>
          <w:color w:val="auto"/>
          <w:sz w:val="32"/>
          <w:szCs w:val="22"/>
          <w:lang w:val="en-US" w:eastAsia="zh-CN"/>
        </w:rPr>
      </w:pPr>
    </w:p>
    <w:p>
      <w:pPr>
        <w:pStyle w:val="4"/>
        <w:rPr>
          <w:rFonts w:hint="eastAsia"/>
          <w:color w:val="auto"/>
          <w:lang w:val="en-US" w:eastAsia="zh-CN"/>
        </w:rPr>
      </w:pPr>
    </w:p>
    <w:p>
      <w:pPr>
        <w:pStyle w:val="3"/>
        <w:rPr>
          <w:rFonts w:hint="eastAsia"/>
          <w:color w:val="auto"/>
          <w:lang w:val="en-US" w:eastAsia="zh-CN"/>
        </w:rPr>
      </w:pPr>
    </w:p>
    <w:p>
      <w:pPr>
        <w:rPr>
          <w:rFonts w:hint="eastAsia"/>
          <w:lang w:val="en-US" w:eastAsia="zh-CN"/>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黑体" w:hAnsi="黑体" w:eastAsia="黑体" w:cs="黑体"/>
          <w:color w:val="auto"/>
          <w:sz w:val="32"/>
          <w:szCs w:val="22"/>
          <w:lang w:val="en-US" w:eastAsia="zh-CN"/>
        </w:rPr>
      </w:pPr>
      <w:r>
        <w:rPr>
          <w:rFonts w:hint="eastAsia" w:ascii="黑体" w:hAnsi="黑体" w:eastAsia="黑体" w:cs="黑体"/>
          <w:color w:val="auto"/>
          <w:sz w:val="32"/>
          <w:szCs w:val="22"/>
          <w:lang w:val="en-US" w:eastAsia="zh-CN"/>
        </w:rPr>
        <w:t>附件</w:t>
      </w:r>
    </w:p>
    <w:p>
      <w:pPr>
        <w:keepNext w:val="0"/>
        <w:keepLines w:val="0"/>
        <w:pageBreakBefore w:val="0"/>
        <w:widowControl/>
        <w:kinsoku/>
        <w:wordWrap/>
        <w:overflowPunct/>
        <w:topLinePunct w:val="0"/>
        <w:autoSpaceDE/>
        <w:autoSpaceDN/>
        <w:bidi w:val="0"/>
        <w:adjustRightInd/>
        <w:snapToGrid/>
        <w:spacing w:line="420" w:lineRule="exact"/>
        <w:ind w:firstLine="560"/>
        <w:jc w:val="center"/>
        <w:textAlignment w:val="auto"/>
        <w:rPr>
          <w:rFonts w:ascii="Times New Roman" w:hAnsi="Times New Roman" w:eastAsia="宋体" w:cs="Times New Roman"/>
          <w:color w:val="auto"/>
          <w:sz w:val="36"/>
          <w:szCs w:val="36"/>
          <w:lang w:val="en-US" w:eastAsia="zh-CN" w:bidi="ar-SA"/>
        </w:rPr>
      </w:pPr>
      <w:r>
        <w:rPr>
          <w:rFonts w:ascii="Times New Roman" w:hAnsi="Times New Roman" w:eastAsia="宋体" w:cs="Times New Roman"/>
          <w:b/>
          <w:bCs/>
          <w:color w:val="auto"/>
          <w:sz w:val="36"/>
          <w:szCs w:val="36"/>
        </w:rPr>
        <w:t>评审因素和标准</w:t>
      </w:r>
    </w:p>
    <w:tbl>
      <w:tblPr>
        <w:tblStyle w:val="6"/>
        <w:tblW w:w="53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2"/>
        <w:gridCol w:w="1155"/>
        <w:gridCol w:w="686"/>
        <w:gridCol w:w="6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blHeader/>
          <w:jc w:val="center"/>
        </w:trPr>
        <w:tc>
          <w:tcPr>
            <w:tcW w:w="1122"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300" w:lineRule="exact"/>
              <w:ind w:firstLine="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评审因素</w:t>
            </w:r>
          </w:p>
        </w:tc>
        <w:tc>
          <w:tcPr>
            <w:tcW w:w="1155"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300" w:lineRule="exact"/>
              <w:ind w:firstLine="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计分因素</w:t>
            </w:r>
          </w:p>
        </w:tc>
        <w:tc>
          <w:tcPr>
            <w:tcW w:w="686"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300" w:lineRule="exact"/>
              <w:ind w:firstLine="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分值</w:t>
            </w:r>
          </w:p>
        </w:tc>
        <w:tc>
          <w:tcPr>
            <w:tcW w:w="6693"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300" w:lineRule="exact"/>
              <w:ind w:firstLine="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计分标准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tblHeader/>
          <w:jc w:val="center"/>
        </w:trPr>
        <w:tc>
          <w:tcPr>
            <w:tcW w:w="1122" w:type="dxa"/>
            <w:tcBorders>
              <w:top w:val="single" w:color="auto" w:sz="4" w:space="0"/>
              <w:left w:val="single" w:color="auto" w:sz="4" w:space="0"/>
              <w:right w:val="single" w:color="auto" w:sz="4" w:space="0"/>
              <w:tl2br w:val="nil"/>
              <w:tr2bl w:val="nil"/>
            </w:tcBorders>
            <w:noWrap w:val="0"/>
            <w:vAlign w:val="center"/>
          </w:tcPr>
          <w:p>
            <w:pPr>
              <w:spacing w:line="240" w:lineRule="auto"/>
              <w:ind w:firstLine="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价格部分</w:t>
            </w:r>
          </w:p>
          <w:p>
            <w:pPr>
              <w:spacing w:line="240" w:lineRule="auto"/>
              <w:ind w:firstLine="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（30分）</w:t>
            </w:r>
          </w:p>
        </w:tc>
        <w:tc>
          <w:tcPr>
            <w:tcW w:w="1155"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投标报价</w:t>
            </w:r>
          </w:p>
        </w:tc>
        <w:tc>
          <w:tcPr>
            <w:tcW w:w="68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669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1、满足采购文件要求且报价最低的供应商的价格为基准价，其价格分为满分30分。其它供应商的价格分统一按照下列公式计算：报价得分=（基准价/投标报价）×30</w:t>
            </w:r>
          </w:p>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评审</w:t>
            </w:r>
            <w:r>
              <w:rPr>
                <w:rFonts w:ascii="Times New Roman" w:hAnsi="Times New Roman" w:eastAsia="宋体" w:cs="Times New Roman"/>
                <w:color w:val="auto"/>
                <w:sz w:val="21"/>
                <w:szCs w:val="21"/>
                <w:lang w:val="en-US" w:eastAsia="zh-CN"/>
              </w:rPr>
              <w:t>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w:t>
            </w:r>
            <w:r>
              <w:rPr>
                <w:rFonts w:hint="eastAsia" w:ascii="Times New Roman" w:hAnsi="Times New Roman" w:eastAsia="宋体" w:cs="Times New Roman"/>
                <w:color w:val="auto"/>
                <w:sz w:val="21"/>
                <w:szCs w:val="21"/>
                <w:lang w:val="en-US" w:eastAsia="zh-CN"/>
              </w:rPr>
              <w:t>评审</w:t>
            </w:r>
            <w:r>
              <w:rPr>
                <w:rFonts w:ascii="Times New Roman" w:hAnsi="Times New Roman" w:eastAsia="宋体" w:cs="Times New Roman"/>
                <w:color w:val="auto"/>
                <w:sz w:val="21"/>
                <w:szCs w:val="21"/>
                <w:lang w:val="en-US" w:eastAsia="zh-CN"/>
              </w:rPr>
              <w:t>小组应当将其作为无效响应处理。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3" w:hRule="atLeast"/>
          <w:tblHeader/>
          <w:jc w:val="center"/>
        </w:trPr>
        <w:tc>
          <w:tcPr>
            <w:tcW w:w="1122" w:type="dxa"/>
            <w:vMerge w:val="restart"/>
            <w:tcBorders>
              <w:top w:val="single" w:color="auto" w:sz="4" w:space="0"/>
              <w:left w:val="single" w:color="auto" w:sz="4" w:space="0"/>
              <w:right w:val="single" w:color="auto" w:sz="4" w:space="0"/>
              <w:tl2br w:val="nil"/>
              <w:tr2bl w:val="nil"/>
            </w:tcBorders>
            <w:noWrap w:val="0"/>
            <w:vAlign w:val="center"/>
          </w:tcPr>
          <w:p>
            <w:pPr>
              <w:spacing w:line="240" w:lineRule="auto"/>
              <w:ind w:firstLine="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技术部分（</w:t>
            </w:r>
            <w:r>
              <w:rPr>
                <w:rFonts w:ascii="Times New Roman" w:hAnsi="Times New Roman" w:eastAsia="宋体" w:cs="Times New Roman"/>
                <w:color w:val="auto"/>
                <w:sz w:val="21"/>
                <w:szCs w:val="21"/>
                <w:lang w:val="en-US" w:eastAsia="zh-CN"/>
              </w:rPr>
              <w:t>5</w:t>
            </w:r>
            <w:r>
              <w:rPr>
                <w:rFonts w:hint="eastAsia" w:cs="Times New Roman"/>
                <w:color w:val="auto"/>
                <w:sz w:val="21"/>
                <w:szCs w:val="21"/>
                <w:lang w:val="en-US" w:eastAsia="zh-CN"/>
              </w:rPr>
              <w:t>0</w:t>
            </w:r>
            <w:r>
              <w:rPr>
                <w:rFonts w:ascii="Times New Roman" w:hAnsi="Times New Roman" w:eastAsia="宋体" w:cs="Times New Roman"/>
                <w:color w:val="auto"/>
                <w:sz w:val="21"/>
                <w:szCs w:val="21"/>
              </w:rPr>
              <w:t>）</w:t>
            </w:r>
          </w:p>
        </w:tc>
        <w:tc>
          <w:tcPr>
            <w:tcW w:w="1155"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服务方案</w:t>
            </w:r>
          </w:p>
        </w:tc>
        <w:tc>
          <w:tcPr>
            <w:tcW w:w="686" w:type="dxa"/>
            <w:tcBorders>
              <w:top w:val="single" w:color="auto" w:sz="4" w:space="0"/>
              <w:left w:val="single" w:color="auto" w:sz="4" w:space="0"/>
              <w:right w:val="single" w:color="auto" w:sz="4" w:space="0"/>
              <w:tl2br w:val="nil"/>
              <w:tr2bl w:val="nil"/>
            </w:tcBorders>
            <w:noWrap w:val="0"/>
            <w:vAlign w:val="center"/>
          </w:tcPr>
          <w:p>
            <w:pPr>
              <w:spacing w:line="240" w:lineRule="auto"/>
              <w:ind w:firstLine="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40</w:t>
            </w:r>
          </w:p>
        </w:tc>
        <w:tc>
          <w:tcPr>
            <w:tcW w:w="6693" w:type="dxa"/>
            <w:tcBorders>
              <w:top w:val="single" w:color="auto" w:sz="4" w:space="0"/>
              <w:left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根据供应商</w:t>
            </w:r>
            <w:r>
              <w:rPr>
                <w:rFonts w:hint="eastAsia" w:ascii="Times New Roman" w:hAnsi="Times New Roman" w:eastAsia="宋体" w:cs="Times New Roman"/>
                <w:color w:val="auto"/>
                <w:sz w:val="21"/>
                <w:szCs w:val="21"/>
                <w:lang w:val="en-US" w:eastAsia="zh-CN"/>
              </w:rPr>
              <w:t>出访任务</w:t>
            </w:r>
            <w:r>
              <w:rPr>
                <w:rFonts w:ascii="Times New Roman" w:hAnsi="Times New Roman" w:eastAsia="宋体" w:cs="Times New Roman"/>
                <w:color w:val="auto"/>
                <w:sz w:val="21"/>
                <w:szCs w:val="21"/>
                <w:lang w:val="en-US" w:eastAsia="zh-CN"/>
              </w:rPr>
              <w:t>为本次出访活动制订出访服务方案，包括但不限于：①梳理工作和服务流程；②对访前准备、访中衔接、访后收尾等各环节开展服务方案制订；③出访行程安排及相关材料准备；④经费预算安排；⑤工作措施</w:t>
            </w:r>
            <w:r>
              <w:rPr>
                <w:rFonts w:hint="eastAsia" w:ascii="Times New Roman" w:hAnsi="Times New Roman" w:eastAsia="宋体" w:cs="Times New Roman"/>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要素齐全，符合采购要求，梳理工作和服务流程内容细致、合理、操作性强，对访前准备、访中衔接、访后收尾等各环节开展服务方案制订详细、具体细化，出访行程安排合理，活动方案制定完善，经费预算安排科学合理，工作措施有力，能确保出访活动准备充分，组织有力，服务热情周到，计</w:t>
            </w:r>
            <w:r>
              <w:rPr>
                <w:rFonts w:hint="eastAsia" w:cs="Times New Roman"/>
                <w:color w:val="auto"/>
                <w:sz w:val="21"/>
                <w:szCs w:val="21"/>
                <w:lang w:val="en-US" w:eastAsia="zh-CN"/>
              </w:rPr>
              <w:t>40</w:t>
            </w:r>
            <w:r>
              <w:rPr>
                <w:rFonts w:ascii="Times New Roman" w:hAnsi="Times New Roman" w:eastAsia="宋体" w:cs="Times New Roman"/>
                <w:color w:val="auto"/>
                <w:sz w:val="21"/>
                <w:szCs w:val="21"/>
                <w:lang w:val="en-US" w:eastAsia="zh-CN"/>
              </w:rPr>
              <w:t>分。每缺少一项要素的扣</w:t>
            </w:r>
            <w:r>
              <w:rPr>
                <w:rFonts w:hint="eastAsia" w:ascii="Times New Roman" w:hAnsi="Times New Roman" w:eastAsia="宋体" w:cs="Times New Roman"/>
                <w:color w:val="auto"/>
                <w:sz w:val="21"/>
                <w:szCs w:val="21"/>
                <w:lang w:val="en-US" w:eastAsia="zh-CN"/>
              </w:rPr>
              <w:t>8</w:t>
            </w:r>
            <w:r>
              <w:rPr>
                <w:rFonts w:ascii="Times New Roman" w:hAnsi="Times New Roman" w:eastAsia="宋体" w:cs="Times New Roman"/>
                <w:color w:val="auto"/>
                <w:sz w:val="21"/>
                <w:szCs w:val="21"/>
                <w:lang w:val="en-US" w:eastAsia="zh-CN"/>
              </w:rPr>
              <w:t>分；每有一处内容存在错误或缺陷的扣3分，扣完为止。</w:t>
            </w:r>
          </w:p>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zh-CN" w:eastAsia="zh-CN"/>
              </w:rPr>
            </w:pPr>
            <w:r>
              <w:rPr>
                <w:rFonts w:ascii="Times New Roman" w:hAnsi="Times New Roman" w:eastAsia="宋体" w:cs="Times New Roman"/>
                <w:color w:val="auto"/>
                <w:sz w:val="21"/>
                <w:szCs w:val="21"/>
                <w:lang w:val="zh-CN" w:eastAsia="zh-CN"/>
              </w:rPr>
              <w:t>注：内容错误或有缺陷是指项目名称不符、内容与项目需求不一致、涉及的技术规范标准等与国家或行业或磋商文件要求不一致，内容与实际实施存在差异性，计划安排无条理性、内容空洞、语义表述不清，前后矛盾，存在歧义、混乱，内容不充实、不完善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122" w:type="dxa"/>
            <w:vMerge w:val="continue"/>
            <w:tcBorders>
              <w:left w:val="single" w:color="auto" w:sz="4" w:space="0"/>
              <w:right w:val="single" w:color="auto" w:sz="4" w:space="0"/>
              <w:tl2br w:val="nil"/>
              <w:tr2bl w:val="nil"/>
            </w:tcBorders>
            <w:noWrap w:val="0"/>
            <w:vAlign w:val="center"/>
          </w:tcPr>
          <w:p>
            <w:pPr>
              <w:rPr>
                <w:color w:val="auto"/>
              </w:rPr>
            </w:pPr>
          </w:p>
        </w:tc>
        <w:tc>
          <w:tcPr>
            <w:tcW w:w="1155" w:type="dxa"/>
            <w:tcBorders>
              <w:top w:val="single" w:color="auto" w:sz="4" w:space="0"/>
              <w:left w:val="single" w:color="auto" w:sz="4" w:space="0"/>
              <w:right w:val="single" w:color="auto" w:sz="4" w:space="0"/>
              <w:tl2br w:val="nil"/>
              <w:tr2bl w:val="nil"/>
            </w:tcBorders>
            <w:noWrap w:val="0"/>
            <w:vAlign w:val="center"/>
          </w:tcPr>
          <w:p>
            <w:pPr>
              <w:widowControl/>
              <w:spacing w:line="240" w:lineRule="auto"/>
              <w:ind w:firstLine="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 w:val="21"/>
                <w:szCs w:val="21"/>
                <w:highlight w:val="none"/>
                <w:lang w:eastAsia="zh-CN"/>
              </w:rPr>
              <w:t>工作</w:t>
            </w:r>
            <w:r>
              <w:rPr>
                <w:rFonts w:ascii="Times New Roman" w:hAnsi="Times New Roman" w:eastAsia="宋体" w:cs="Times New Roman"/>
                <w:color w:val="auto"/>
                <w:kern w:val="0"/>
                <w:sz w:val="21"/>
                <w:szCs w:val="21"/>
                <w:highlight w:val="none"/>
              </w:rPr>
              <w:t>计划安排</w:t>
            </w:r>
          </w:p>
        </w:tc>
        <w:tc>
          <w:tcPr>
            <w:tcW w:w="686" w:type="dxa"/>
            <w:tcBorders>
              <w:top w:val="single" w:color="auto" w:sz="4" w:space="0"/>
              <w:left w:val="single" w:color="auto" w:sz="4" w:space="0"/>
              <w:right w:val="single" w:color="auto" w:sz="4" w:space="0"/>
              <w:tl2br w:val="nil"/>
              <w:tr2bl w:val="nil"/>
            </w:tcBorders>
            <w:noWrap w:val="0"/>
            <w:vAlign w:val="center"/>
          </w:tcPr>
          <w:p>
            <w:pPr>
              <w:widowControl/>
              <w:spacing w:line="240" w:lineRule="auto"/>
              <w:ind w:firstLine="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 w:val="21"/>
                <w:szCs w:val="21"/>
                <w:highlight w:val="none"/>
                <w:lang w:val="en-US" w:eastAsia="zh-CN"/>
              </w:rPr>
              <w:t>10</w:t>
            </w:r>
          </w:p>
        </w:tc>
        <w:tc>
          <w:tcPr>
            <w:tcW w:w="6693" w:type="dxa"/>
            <w:tcBorders>
              <w:top w:val="single" w:color="auto" w:sz="4" w:space="0"/>
              <w:left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zh-CN" w:eastAsia="zh-CN"/>
              </w:rPr>
              <w:t>根据供应商针对本项目提供的工作计划安排，</w:t>
            </w:r>
            <w:r>
              <w:rPr>
                <w:rFonts w:ascii="Times New Roman" w:hAnsi="Times New Roman" w:eastAsia="宋体" w:cs="Times New Roman"/>
                <w:color w:val="auto"/>
                <w:sz w:val="21"/>
                <w:szCs w:val="21"/>
                <w:lang w:val="en-US" w:eastAsia="zh-CN"/>
              </w:rPr>
              <w:t>包括但不限于：①</w:t>
            </w:r>
            <w:r>
              <w:rPr>
                <w:rFonts w:ascii="Times New Roman" w:hAnsi="Times New Roman" w:eastAsia="宋体" w:cs="Times New Roman"/>
                <w:color w:val="auto"/>
                <w:sz w:val="21"/>
                <w:szCs w:val="21"/>
                <w:lang w:val="zh-CN" w:eastAsia="zh-CN"/>
              </w:rPr>
              <w:t>整体工作进度计划</w:t>
            </w:r>
            <w:r>
              <w:rPr>
                <w:rFonts w:ascii="Times New Roman" w:hAnsi="Times New Roman" w:eastAsia="宋体" w:cs="Times New Roman"/>
                <w:color w:val="auto"/>
                <w:sz w:val="21"/>
                <w:szCs w:val="21"/>
                <w:lang w:val="en-US" w:eastAsia="zh-CN"/>
              </w:rPr>
              <w:t>及</w:t>
            </w:r>
            <w:r>
              <w:rPr>
                <w:rFonts w:ascii="Times New Roman" w:hAnsi="Times New Roman" w:eastAsia="宋体" w:cs="Times New Roman"/>
                <w:color w:val="auto"/>
                <w:sz w:val="21"/>
                <w:szCs w:val="21"/>
                <w:lang w:val="zh-CN" w:eastAsia="zh-CN"/>
              </w:rPr>
              <w:t>任务划分；②各个时间节点的设置把握。</w:t>
            </w:r>
          </w:p>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zh-CN" w:eastAsia="zh-CN"/>
              </w:rPr>
            </w:pPr>
            <w:r>
              <w:rPr>
                <w:rFonts w:ascii="Times New Roman" w:hAnsi="Times New Roman" w:eastAsia="宋体" w:cs="Times New Roman"/>
                <w:color w:val="auto"/>
                <w:sz w:val="21"/>
                <w:szCs w:val="21"/>
                <w:lang w:val="zh-CN" w:eastAsia="zh-CN"/>
              </w:rPr>
              <w:t>整体工作进度计划安排详细，各个时间节点的设置把握准确，任务划分合理的计</w:t>
            </w:r>
            <w:r>
              <w:rPr>
                <w:rFonts w:ascii="Times New Roman" w:hAnsi="Times New Roman" w:eastAsia="宋体" w:cs="Times New Roman"/>
                <w:color w:val="auto"/>
                <w:sz w:val="21"/>
                <w:szCs w:val="21"/>
                <w:lang w:val="en-US" w:eastAsia="zh-CN"/>
              </w:rPr>
              <w:t>10分。每缺少一项要素的扣5分；每有一处内容存在错误或缺陷的扣2分，扣完为止。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blHeader/>
          <w:jc w:val="center"/>
        </w:trPr>
        <w:tc>
          <w:tcPr>
            <w:tcW w:w="1122" w:type="dxa"/>
            <w:vMerge w:val="restart"/>
            <w:tcBorders>
              <w:top w:val="single" w:color="auto" w:sz="4" w:space="0"/>
              <w:left w:val="single" w:color="auto" w:sz="4" w:space="0"/>
              <w:right w:val="single" w:color="auto" w:sz="4" w:space="0"/>
              <w:tl2br w:val="nil"/>
              <w:tr2bl w:val="nil"/>
            </w:tcBorders>
            <w:noWrap w:val="0"/>
            <w:vAlign w:val="center"/>
          </w:tcPr>
          <w:p>
            <w:pPr>
              <w:widowControl/>
              <w:spacing w:line="240" w:lineRule="auto"/>
              <w:ind w:firstLine="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商务部分（2</w:t>
            </w:r>
            <w:r>
              <w:rPr>
                <w:rFonts w:hint="eastAsia" w:cs="Times New Roman"/>
                <w:color w:val="auto"/>
                <w:sz w:val="21"/>
                <w:szCs w:val="21"/>
                <w:lang w:val="en-US" w:eastAsia="zh-CN"/>
              </w:rPr>
              <w:t>0</w:t>
            </w:r>
            <w:r>
              <w:rPr>
                <w:rFonts w:ascii="Times New Roman" w:hAnsi="Times New Roman" w:eastAsia="宋体" w:cs="Times New Roman"/>
                <w:color w:val="auto"/>
                <w:sz w:val="21"/>
                <w:szCs w:val="21"/>
              </w:rPr>
              <w:t>分）</w:t>
            </w:r>
          </w:p>
        </w:tc>
        <w:tc>
          <w:tcPr>
            <w:tcW w:w="1155"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jc w:val="center"/>
              <w:rPr>
                <w:rFonts w:ascii="Times New Roman" w:hAnsi="Times New Roman" w:eastAsia="宋体" w:cs="Times New Roman"/>
                <w:color w:val="auto"/>
                <w:sz w:val="21"/>
                <w:szCs w:val="24"/>
              </w:rPr>
            </w:pPr>
            <w:r>
              <w:rPr>
                <w:rFonts w:ascii="Times New Roman" w:hAnsi="Times New Roman" w:eastAsia="宋体" w:cs="Times New Roman"/>
                <w:color w:val="auto"/>
                <w:sz w:val="21"/>
                <w:szCs w:val="24"/>
              </w:rPr>
              <w:t>合理化</w:t>
            </w:r>
          </w:p>
          <w:p>
            <w:pPr>
              <w:adjustRightInd w:val="0"/>
              <w:snapToGrid w:val="0"/>
              <w:spacing w:line="240" w:lineRule="auto"/>
              <w:ind w:firstLine="0"/>
              <w:jc w:val="center"/>
              <w:rPr>
                <w:rFonts w:ascii="Times New Roman" w:hAnsi="Times New Roman" w:eastAsia="宋体" w:cs="Times New Roman"/>
                <w:color w:val="auto"/>
                <w:sz w:val="21"/>
                <w:szCs w:val="24"/>
              </w:rPr>
            </w:pPr>
            <w:r>
              <w:rPr>
                <w:rFonts w:ascii="Times New Roman" w:hAnsi="Times New Roman" w:eastAsia="宋体" w:cs="Times New Roman"/>
                <w:color w:val="auto"/>
                <w:sz w:val="21"/>
                <w:szCs w:val="24"/>
              </w:rPr>
              <w:t>建议</w:t>
            </w:r>
          </w:p>
        </w:tc>
        <w:tc>
          <w:tcPr>
            <w:tcW w:w="686"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6</w:t>
            </w:r>
          </w:p>
        </w:tc>
        <w:tc>
          <w:tcPr>
            <w:tcW w:w="669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zh-CN" w:eastAsia="zh-CN"/>
              </w:rPr>
            </w:pPr>
            <w:r>
              <w:rPr>
                <w:rFonts w:ascii="Times New Roman" w:hAnsi="Times New Roman" w:eastAsia="宋体" w:cs="Times New Roman"/>
                <w:color w:val="auto"/>
                <w:sz w:val="21"/>
                <w:szCs w:val="21"/>
                <w:lang w:val="zh-CN" w:eastAsia="zh-CN"/>
              </w:rPr>
              <w:t>结合本项目实际情况，供应商提出对当前</w:t>
            </w:r>
            <w:r>
              <w:rPr>
                <w:rFonts w:hint="eastAsia" w:ascii="Times New Roman" w:hAnsi="Times New Roman" w:eastAsia="宋体" w:cs="Times New Roman"/>
                <w:color w:val="auto"/>
                <w:sz w:val="21"/>
                <w:szCs w:val="21"/>
                <w:lang w:val="zh-CN" w:eastAsia="zh-CN"/>
              </w:rPr>
              <w:t>出访</w:t>
            </w:r>
            <w:r>
              <w:rPr>
                <w:rFonts w:ascii="Times New Roman" w:hAnsi="Times New Roman" w:eastAsia="宋体" w:cs="Times New Roman"/>
                <w:color w:val="auto"/>
                <w:sz w:val="21"/>
                <w:szCs w:val="21"/>
                <w:lang w:val="zh-CN" w:eastAsia="zh-CN"/>
              </w:rPr>
              <w:t>工作的</w:t>
            </w:r>
            <w:r>
              <w:rPr>
                <w:rFonts w:hint="eastAsia" w:ascii="Times New Roman" w:hAnsi="Times New Roman" w:eastAsia="宋体" w:cs="Times New Roman"/>
                <w:color w:val="auto"/>
                <w:sz w:val="21"/>
                <w:szCs w:val="21"/>
                <w:lang w:val="zh-CN" w:eastAsia="zh-CN"/>
              </w:rPr>
              <w:t>策划创意、</w:t>
            </w:r>
            <w:r>
              <w:rPr>
                <w:rFonts w:ascii="Times New Roman" w:hAnsi="Times New Roman" w:eastAsia="宋体" w:cs="Times New Roman"/>
                <w:color w:val="auto"/>
                <w:sz w:val="21"/>
                <w:szCs w:val="21"/>
                <w:lang w:val="zh-CN" w:eastAsia="zh-CN"/>
              </w:rPr>
              <w:t>应对</w:t>
            </w:r>
            <w:r>
              <w:rPr>
                <w:rFonts w:hint="eastAsia" w:ascii="Times New Roman" w:hAnsi="Times New Roman" w:eastAsia="宋体" w:cs="Times New Roman"/>
                <w:color w:val="auto"/>
                <w:sz w:val="21"/>
                <w:szCs w:val="21"/>
                <w:lang w:val="zh-CN" w:eastAsia="zh-CN"/>
              </w:rPr>
              <w:t>特殊情况</w:t>
            </w:r>
            <w:r>
              <w:rPr>
                <w:rFonts w:ascii="Times New Roman" w:hAnsi="Times New Roman" w:eastAsia="宋体" w:cs="Times New Roman"/>
                <w:color w:val="auto"/>
                <w:sz w:val="21"/>
                <w:szCs w:val="21"/>
                <w:lang w:val="zh-CN" w:eastAsia="zh-CN"/>
              </w:rPr>
              <w:t>建议；每提供1条可行的合理化建议计</w:t>
            </w:r>
            <w:r>
              <w:rPr>
                <w:rFonts w:hint="eastAsia" w:ascii="Times New Roman" w:hAnsi="Times New Roman" w:eastAsia="宋体" w:cs="Times New Roman"/>
                <w:color w:val="auto"/>
                <w:sz w:val="21"/>
                <w:szCs w:val="21"/>
                <w:lang w:val="en-US" w:eastAsia="zh-CN"/>
              </w:rPr>
              <w:t>2</w:t>
            </w:r>
            <w:r>
              <w:rPr>
                <w:rFonts w:ascii="Times New Roman" w:hAnsi="Times New Roman" w:eastAsia="宋体" w:cs="Times New Roman"/>
                <w:color w:val="auto"/>
                <w:sz w:val="21"/>
                <w:szCs w:val="21"/>
                <w:lang w:val="zh-CN" w:eastAsia="zh-CN"/>
              </w:rPr>
              <w:t>分，最多计</w:t>
            </w:r>
            <w:r>
              <w:rPr>
                <w:rFonts w:hint="eastAsia" w:ascii="Times New Roman" w:hAnsi="Times New Roman" w:eastAsia="宋体" w:cs="Times New Roman"/>
                <w:color w:val="auto"/>
                <w:sz w:val="21"/>
                <w:szCs w:val="21"/>
                <w:lang w:val="en-US" w:eastAsia="zh-CN"/>
              </w:rPr>
              <w:t>6</w:t>
            </w:r>
            <w:r>
              <w:rPr>
                <w:rFonts w:ascii="Times New Roman" w:hAnsi="Times New Roman" w:eastAsia="宋体" w:cs="Times New Roman"/>
                <w:color w:val="auto"/>
                <w:sz w:val="21"/>
                <w:szCs w:val="21"/>
                <w:lang w:val="zh-CN" w:eastAsia="zh-CN"/>
              </w:rPr>
              <w:t>分；未提供的不计分。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blHeader/>
          <w:jc w:val="center"/>
        </w:trPr>
        <w:tc>
          <w:tcPr>
            <w:tcW w:w="1122" w:type="dxa"/>
            <w:vMerge w:val="continue"/>
            <w:tcBorders>
              <w:left w:val="single" w:color="auto" w:sz="4" w:space="0"/>
              <w:right w:val="single" w:color="auto" w:sz="4" w:space="0"/>
              <w:tl2br w:val="nil"/>
              <w:tr2bl w:val="nil"/>
            </w:tcBorders>
            <w:noWrap w:val="0"/>
            <w:vAlign w:val="center"/>
          </w:tcPr>
          <w:p>
            <w:pPr>
              <w:rPr>
                <w:color w:val="auto"/>
              </w:rPr>
            </w:pPr>
          </w:p>
        </w:tc>
        <w:tc>
          <w:tcPr>
            <w:tcW w:w="1155"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jc w:val="center"/>
              <w:rPr>
                <w:rFonts w:ascii="Times New Roman" w:hAnsi="Times New Roman" w:eastAsia="宋体" w:cs="Times New Roman"/>
                <w:color w:val="auto"/>
                <w:sz w:val="21"/>
                <w:szCs w:val="24"/>
                <w:lang w:val="en-US" w:eastAsia="zh-CN"/>
              </w:rPr>
            </w:pPr>
            <w:r>
              <w:rPr>
                <w:rFonts w:ascii="Times New Roman" w:hAnsi="Times New Roman" w:eastAsia="宋体" w:cs="Times New Roman"/>
                <w:color w:val="auto"/>
                <w:sz w:val="21"/>
                <w:szCs w:val="24"/>
                <w:lang w:val="en-US" w:eastAsia="zh-CN"/>
              </w:rPr>
              <w:t>技术力量</w:t>
            </w:r>
          </w:p>
        </w:tc>
        <w:tc>
          <w:tcPr>
            <w:tcW w:w="686"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jc w:val="center"/>
              <w:rPr>
                <w:rFonts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8</w:t>
            </w:r>
          </w:p>
        </w:tc>
        <w:tc>
          <w:tcPr>
            <w:tcW w:w="669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line="240" w:lineRule="auto"/>
              <w:ind w:firstLine="0"/>
              <w:rPr>
                <w:rFonts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lang w:val="en-US" w:eastAsia="zh-CN"/>
              </w:rPr>
              <w:t>供应商为本项目拟派的服务团队人员中，有熟悉各项出境流程、具备类似境外服务项目经验</w:t>
            </w:r>
            <w:r>
              <w:rPr>
                <w:rFonts w:hint="eastAsia" w:ascii="Times New Roman" w:hAnsi="Times New Roman" w:eastAsia="宋体" w:cs="Times New Roman"/>
                <w:color w:val="auto"/>
                <w:sz w:val="21"/>
                <w:szCs w:val="21"/>
                <w:highlight w:val="none"/>
                <w:lang w:val="en-US" w:eastAsia="zh-CN"/>
              </w:rPr>
              <w:t>、语言能力</w:t>
            </w:r>
            <w:r>
              <w:rPr>
                <w:rFonts w:ascii="Times New Roman" w:hAnsi="Times New Roman" w:eastAsia="宋体" w:cs="Times New Roman"/>
                <w:color w:val="auto"/>
                <w:sz w:val="21"/>
                <w:szCs w:val="21"/>
                <w:highlight w:val="none"/>
                <w:lang w:val="en-US" w:eastAsia="zh-CN"/>
              </w:rPr>
              <w:t>的，每人计2分，满分</w:t>
            </w:r>
            <w:r>
              <w:rPr>
                <w:rFonts w:hint="eastAsia" w:ascii="Times New Roman" w:hAnsi="Times New Roman" w:eastAsia="宋体" w:cs="Times New Roman"/>
                <w:color w:val="auto"/>
                <w:sz w:val="21"/>
                <w:szCs w:val="21"/>
                <w:highlight w:val="none"/>
                <w:lang w:val="en-US" w:eastAsia="zh-CN"/>
              </w:rPr>
              <w:t>8</w:t>
            </w:r>
            <w:r>
              <w:rPr>
                <w:rFonts w:ascii="Times New Roman" w:hAnsi="Times New Roman" w:eastAsia="宋体" w:cs="Times New Roman"/>
                <w:color w:val="auto"/>
                <w:sz w:val="21"/>
                <w:szCs w:val="21"/>
                <w:highlight w:val="none"/>
                <w:lang w:val="en-US" w:eastAsia="zh-CN"/>
              </w:rPr>
              <w:t>分。</w:t>
            </w:r>
          </w:p>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zh-CN" w:eastAsia="zh-CN"/>
              </w:rPr>
            </w:pPr>
            <w:r>
              <w:rPr>
                <w:rFonts w:ascii="Times New Roman" w:hAnsi="Times New Roman" w:eastAsia="宋体" w:cs="Times New Roman"/>
                <w:color w:val="auto"/>
                <w:sz w:val="21"/>
                <w:szCs w:val="21"/>
                <w:highlight w:val="none"/>
                <w:lang w:val="en-US" w:eastAsia="zh-CN"/>
              </w:rPr>
              <w:t>注：提供相关证明材料并加盖公章，否则不计分。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blHeader/>
          <w:jc w:val="center"/>
        </w:trPr>
        <w:tc>
          <w:tcPr>
            <w:tcW w:w="1122" w:type="dxa"/>
            <w:vMerge w:val="continue"/>
            <w:tcBorders>
              <w:left w:val="single" w:color="auto" w:sz="4" w:space="0"/>
              <w:right w:val="single" w:color="auto" w:sz="4" w:space="0"/>
              <w:tl2br w:val="nil"/>
              <w:tr2bl w:val="nil"/>
            </w:tcBorders>
            <w:noWrap w:val="0"/>
            <w:vAlign w:val="center"/>
          </w:tcPr>
          <w:p>
            <w:pPr>
              <w:rPr>
                <w:color w:val="auto"/>
              </w:rPr>
            </w:pPr>
          </w:p>
        </w:tc>
        <w:tc>
          <w:tcPr>
            <w:tcW w:w="1155"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jc w:val="center"/>
              <w:rPr>
                <w:rFonts w:ascii="Times New Roman" w:hAnsi="Times New Roman" w:eastAsia="宋体" w:cs="Times New Roman"/>
                <w:color w:val="auto"/>
                <w:sz w:val="21"/>
                <w:szCs w:val="24"/>
              </w:rPr>
            </w:pPr>
            <w:r>
              <w:rPr>
                <w:rFonts w:ascii="Times New Roman" w:hAnsi="Times New Roman" w:eastAsia="宋体" w:cs="Times New Roman"/>
                <w:color w:val="auto"/>
                <w:sz w:val="21"/>
                <w:szCs w:val="24"/>
              </w:rPr>
              <w:t>业绩</w:t>
            </w:r>
          </w:p>
        </w:tc>
        <w:tc>
          <w:tcPr>
            <w:tcW w:w="686"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line="240" w:lineRule="auto"/>
              <w:ind w:firstLine="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6</w:t>
            </w:r>
          </w:p>
        </w:tc>
        <w:tc>
          <w:tcPr>
            <w:tcW w:w="669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zh-CN" w:eastAsia="zh-CN"/>
              </w:rPr>
            </w:pPr>
            <w:r>
              <w:rPr>
                <w:rFonts w:ascii="Times New Roman" w:hAnsi="Times New Roman" w:eastAsia="宋体" w:cs="Times New Roman"/>
                <w:color w:val="auto"/>
                <w:sz w:val="21"/>
                <w:szCs w:val="21"/>
                <w:lang w:val="zh-CN" w:eastAsia="zh-CN"/>
              </w:rPr>
              <w:t>供应商</w:t>
            </w:r>
            <w:r>
              <w:rPr>
                <w:rFonts w:ascii="Times New Roman" w:hAnsi="Times New Roman" w:eastAsia="宋体" w:cs="Times New Roman"/>
                <w:color w:val="auto"/>
                <w:sz w:val="21"/>
                <w:szCs w:val="21"/>
                <w:lang w:val="en-US" w:eastAsia="zh-CN"/>
              </w:rPr>
              <w:t>自2024年1月1日（以合同签订时间为准）起至今</w:t>
            </w:r>
            <w:r>
              <w:rPr>
                <w:rFonts w:ascii="Times New Roman" w:hAnsi="Times New Roman" w:eastAsia="宋体" w:cs="Times New Roman"/>
                <w:color w:val="auto"/>
                <w:sz w:val="21"/>
                <w:szCs w:val="21"/>
                <w:lang w:val="zh-CN" w:eastAsia="zh-CN"/>
              </w:rPr>
              <w:t>，具有类似项目业绩的，每项业绩计</w:t>
            </w:r>
            <w:r>
              <w:rPr>
                <w:rFonts w:hint="eastAsia" w:ascii="Times New Roman" w:hAnsi="Times New Roman" w:eastAsia="宋体" w:cs="Times New Roman"/>
                <w:color w:val="auto"/>
                <w:sz w:val="21"/>
                <w:szCs w:val="21"/>
                <w:lang w:val="en-US" w:eastAsia="zh-CN"/>
              </w:rPr>
              <w:t>2</w:t>
            </w:r>
            <w:r>
              <w:rPr>
                <w:rFonts w:ascii="Times New Roman" w:hAnsi="Times New Roman" w:eastAsia="宋体" w:cs="Times New Roman"/>
                <w:color w:val="auto"/>
                <w:sz w:val="21"/>
                <w:szCs w:val="21"/>
                <w:lang w:val="zh-CN" w:eastAsia="zh-CN"/>
              </w:rPr>
              <w:t>分，计满</w:t>
            </w:r>
            <w:r>
              <w:rPr>
                <w:rFonts w:hint="eastAsia" w:ascii="Times New Roman" w:hAnsi="Times New Roman" w:eastAsia="宋体" w:cs="Times New Roman"/>
                <w:color w:val="auto"/>
                <w:sz w:val="21"/>
                <w:szCs w:val="21"/>
                <w:lang w:val="en-US" w:eastAsia="zh-CN"/>
              </w:rPr>
              <w:t>6</w:t>
            </w:r>
            <w:r>
              <w:rPr>
                <w:rFonts w:ascii="Times New Roman" w:hAnsi="Times New Roman" w:eastAsia="宋体" w:cs="Times New Roman"/>
                <w:color w:val="auto"/>
                <w:sz w:val="21"/>
                <w:szCs w:val="21"/>
                <w:lang w:val="zh-CN" w:eastAsia="zh-CN"/>
              </w:rPr>
              <w:t>分为止。</w:t>
            </w:r>
          </w:p>
          <w:p>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zh-CN" w:eastAsia="zh-CN"/>
              </w:rPr>
              <w:t>注：提供相应的业绩合同复印件</w:t>
            </w:r>
            <w:r>
              <w:rPr>
                <w:rFonts w:ascii="Times New Roman" w:hAnsi="Times New Roman" w:eastAsia="宋体" w:cs="Times New Roman"/>
                <w:color w:val="auto"/>
                <w:sz w:val="21"/>
                <w:szCs w:val="21"/>
                <w:lang w:val="en-US" w:eastAsia="zh-CN"/>
              </w:rPr>
              <w:t>并加盖供应商公章，</w:t>
            </w:r>
            <w:r>
              <w:rPr>
                <w:rFonts w:ascii="Times New Roman" w:hAnsi="Times New Roman" w:eastAsia="宋体" w:cs="Times New Roman"/>
                <w:color w:val="auto"/>
                <w:sz w:val="21"/>
                <w:szCs w:val="21"/>
                <w:lang w:val="zh-CN" w:eastAsia="zh-CN"/>
              </w:rPr>
              <w:t>否则不计分。</w:t>
            </w:r>
          </w:p>
        </w:tc>
      </w:tr>
    </w:tbl>
    <w:p>
      <w:pPr>
        <w:rPr>
          <w:color w:val="auto"/>
        </w:rPr>
      </w:pPr>
    </w:p>
    <w:sectPr>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Bliss Light">
    <w:altName w:val="DejaVu Math TeX Gyre"/>
    <w:panose1 w:val="00000000000000000000"/>
    <w:charset w:val="00"/>
    <w:family w:val="auto"/>
    <w:pitch w:val="default"/>
    <w:sig w:usb0="00000000" w:usb1="00000000" w:usb2="00000000" w:usb3="00000000" w:csb0="0000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DejaVu Math TeX Gyre">
    <w:panose1 w:val="02000503000000000000"/>
    <w:charset w:val="00"/>
    <w:family w:val="auto"/>
    <w:pitch w:val="default"/>
    <w:sig w:usb0="A10000EF" w:usb1="4201F9EE" w:usb2="02000000" w:usb3="00000000" w:csb0="60000193" w:csb1="0DD4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714BC2"/>
    <w:rsid w:val="0FFE9B60"/>
    <w:rsid w:val="15C71C0C"/>
    <w:rsid w:val="19937E94"/>
    <w:rsid w:val="1FACF15E"/>
    <w:rsid w:val="3AFFB018"/>
    <w:rsid w:val="3BFE1A47"/>
    <w:rsid w:val="3BFFBB79"/>
    <w:rsid w:val="573DF064"/>
    <w:rsid w:val="5DDACA40"/>
    <w:rsid w:val="5F7B1F1D"/>
    <w:rsid w:val="5F967E24"/>
    <w:rsid w:val="65EFE6A1"/>
    <w:rsid w:val="65FF2123"/>
    <w:rsid w:val="67EF2A88"/>
    <w:rsid w:val="6BFDD0B8"/>
    <w:rsid w:val="6CD5312F"/>
    <w:rsid w:val="6D2E4A54"/>
    <w:rsid w:val="6FDF92CC"/>
    <w:rsid w:val="775CEC6D"/>
    <w:rsid w:val="79714BC2"/>
    <w:rsid w:val="79FD0142"/>
    <w:rsid w:val="7ADDBBF2"/>
    <w:rsid w:val="7BD95D4E"/>
    <w:rsid w:val="7DDEEB41"/>
    <w:rsid w:val="7DE7A765"/>
    <w:rsid w:val="7DEF6DF6"/>
    <w:rsid w:val="7E7E955F"/>
    <w:rsid w:val="7E9EACB3"/>
    <w:rsid w:val="7EBB4513"/>
    <w:rsid w:val="7EEF4501"/>
    <w:rsid w:val="7EFFA3F8"/>
    <w:rsid w:val="7F7F2131"/>
    <w:rsid w:val="7F7F4A27"/>
    <w:rsid w:val="7FBB4745"/>
    <w:rsid w:val="7FCE6379"/>
    <w:rsid w:val="7FFD4D12"/>
    <w:rsid w:val="7FFE97C7"/>
    <w:rsid w:val="7FFF411F"/>
    <w:rsid w:val="8FFF7F89"/>
    <w:rsid w:val="97DF8550"/>
    <w:rsid w:val="97E9F23D"/>
    <w:rsid w:val="9BBBB54B"/>
    <w:rsid w:val="9FFF974F"/>
    <w:rsid w:val="A9D99B94"/>
    <w:rsid w:val="BDFCFB34"/>
    <w:rsid w:val="BEC7E5E5"/>
    <w:rsid w:val="BF39C5FA"/>
    <w:rsid w:val="BF6BA79D"/>
    <w:rsid w:val="BFFD830A"/>
    <w:rsid w:val="DDCF00BE"/>
    <w:rsid w:val="DF6B080B"/>
    <w:rsid w:val="DFC0145A"/>
    <w:rsid w:val="E45B7723"/>
    <w:rsid w:val="E8ED2ADF"/>
    <w:rsid w:val="E9F5D6E9"/>
    <w:rsid w:val="EB785377"/>
    <w:rsid w:val="EDF3C748"/>
    <w:rsid w:val="EF1BD393"/>
    <w:rsid w:val="EFFD9EB7"/>
    <w:rsid w:val="F3EFF064"/>
    <w:rsid w:val="F5FB59EB"/>
    <w:rsid w:val="F5FCCE64"/>
    <w:rsid w:val="F72F2DBD"/>
    <w:rsid w:val="F7FFE42B"/>
    <w:rsid w:val="FD8BDDAA"/>
    <w:rsid w:val="FDFF95EC"/>
    <w:rsid w:val="FDFFEFDE"/>
    <w:rsid w:val="FEDE289B"/>
    <w:rsid w:val="FF57C3F6"/>
    <w:rsid w:val="FF699D78"/>
    <w:rsid w:val="FF76D94D"/>
    <w:rsid w:val="FF9B39B6"/>
    <w:rsid w:val="FFAF6DE2"/>
    <w:rsid w:val="FFCFAAB8"/>
    <w:rsid w:val="FFF103F7"/>
    <w:rsid w:val="FFFED3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footer"/>
    <w:basedOn w:val="1"/>
    <w:next w:val="3"/>
    <w:qFormat/>
    <w:uiPriority w:val="0"/>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KM_Text"/>
    <w:qFormat/>
    <w:uiPriority w:val="0"/>
    <w:pPr>
      <w:spacing w:line="284" w:lineRule="exact"/>
    </w:pPr>
    <w:rPr>
      <w:rFonts w:ascii="Bliss Light" w:hAnsi="Bliss Light"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2026-08-08T02:15:00Z</dcterms:created>
  <dc:creator>ZL</dc:creator>
  <cp:lastModifiedBy>xjkp</cp:lastModifiedBy>
  <dcterms:modified xsi:type="dcterms:W3CDTF">2026-09-28T11:13:26Z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